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DE69" w14:textId="732AF1F5" w:rsidR="00C70285" w:rsidRPr="009B0116" w:rsidRDefault="00C70285" w:rsidP="00C7028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  <w:bookmarkStart w:id="0" w:name="_Toc208282612"/>
      <w:r w:rsidRPr="003E10B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Rapport de contrôle périodique d’installations : RESERVOIR ENFOUI</w:t>
      </w:r>
      <w:bookmarkEnd w:id="0"/>
      <w:r w:rsidRPr="003E10B2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(un rapport par réservoir)</w:t>
      </w:r>
    </w:p>
    <w:p w14:paraId="0E8C39E4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tbl>
      <w:tblPr>
        <w:tblStyle w:val="Grilledutablea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494"/>
        <w:gridCol w:w="1361"/>
        <w:gridCol w:w="236"/>
        <w:gridCol w:w="2319"/>
        <w:gridCol w:w="610"/>
        <w:gridCol w:w="1352"/>
        <w:gridCol w:w="731"/>
      </w:tblGrid>
      <w:tr w:rsidR="00C70285" w14:paraId="50DC1D1A" w14:textId="77777777" w:rsidTr="00F966C3">
        <w:trPr>
          <w:jc w:val="center"/>
        </w:trPr>
        <w:tc>
          <w:tcPr>
            <w:tcW w:w="4953" w:type="dxa"/>
            <w:gridSpan w:val="3"/>
            <w:shd w:val="clear" w:color="auto" w:fill="BFBFBF" w:themeFill="background1" w:themeFillShade="BF"/>
          </w:tcPr>
          <w:p w14:paraId="349587D7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Entreprise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67891CCB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4"/>
          </w:tcPr>
          <w:p w14:paraId="122281D9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Numéro de rapport de contrôle :</w:t>
            </w:r>
          </w:p>
        </w:tc>
      </w:tr>
      <w:tr w:rsidR="00C70285" w14:paraId="4CFEE17C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27553BEC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0BE89F89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3CF33A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4"/>
            <w:shd w:val="clear" w:color="auto" w:fill="BFBFBF" w:themeFill="background1" w:themeFillShade="BF"/>
          </w:tcPr>
          <w:p w14:paraId="1B4BFB92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Technicien</w:t>
            </w:r>
          </w:p>
        </w:tc>
      </w:tr>
      <w:tr w:rsidR="00C70285" w14:paraId="77AFE437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691D3CE4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Rue et numéro :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21B5F7C8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EF7E49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6ACC8D0F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13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4C70C9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  <w:bottom w:val="single" w:sz="4" w:space="0" w:color="FFFFFF"/>
            </w:tcBorders>
          </w:tcPr>
          <w:p w14:paraId="438F9E12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0E7E96CE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31D2FD5B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Code postal et ville :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064E4AC7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97690C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14:paraId="3FA5A00A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F97FB1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FFFFFF"/>
              <w:left w:val="single" w:sz="4" w:space="0" w:color="FFFFFF"/>
            </w:tcBorders>
          </w:tcPr>
          <w:p w14:paraId="31A47DE5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3F44C838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296C23CB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Tél. :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34A5FD1C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Gsm :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EBF742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FFFFFF"/>
            </w:tcBorders>
          </w:tcPr>
          <w:p w14:paraId="1D7981E2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Numéro d’agrément :</w:t>
            </w:r>
          </w:p>
        </w:tc>
        <w:tc>
          <w:tcPr>
            <w:tcW w:w="1352" w:type="dxa"/>
            <w:tcBorders>
              <w:left w:val="single" w:sz="4" w:space="0" w:color="FFFFFF"/>
              <w:right w:val="single" w:sz="4" w:space="0" w:color="FFFFFF"/>
            </w:tcBorders>
          </w:tcPr>
          <w:p w14:paraId="59788BF3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009DC2BF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309F49FD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4CC1D3FA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Email :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42EDF5A3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F5438F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FFFFFF"/>
            </w:tcBorders>
          </w:tcPr>
          <w:p w14:paraId="052D9A85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Date du contrôle :</w:t>
            </w:r>
          </w:p>
        </w:tc>
        <w:tc>
          <w:tcPr>
            <w:tcW w:w="1352" w:type="dxa"/>
            <w:tcBorders>
              <w:left w:val="single" w:sz="4" w:space="0" w:color="FFFFFF"/>
              <w:right w:val="single" w:sz="4" w:space="0" w:color="FFFFFF"/>
            </w:tcBorders>
          </w:tcPr>
          <w:p w14:paraId="418DA46D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71E9C7B4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38A918A5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69E643A7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Numéro d’entreprise :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41BE4837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E54B0F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FFFFFF"/>
            </w:tcBorders>
          </w:tcPr>
          <w:p w14:paraId="667D598F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Heures de travail :</w:t>
            </w:r>
          </w:p>
        </w:tc>
        <w:tc>
          <w:tcPr>
            <w:tcW w:w="1352" w:type="dxa"/>
            <w:tcBorders>
              <w:left w:val="single" w:sz="4" w:space="0" w:color="FFFFFF"/>
              <w:right w:val="single" w:sz="4" w:space="0" w:color="FFFFFF"/>
            </w:tcBorders>
          </w:tcPr>
          <w:p w14:paraId="71E1BE5A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7C50891D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5E6AA22A" w14:textId="77777777" w:rsidTr="00F966C3">
        <w:trPr>
          <w:jc w:val="center"/>
        </w:trPr>
        <w:tc>
          <w:tcPr>
            <w:tcW w:w="2098" w:type="dxa"/>
            <w:tcBorders>
              <w:left w:val="single" w:sz="4" w:space="0" w:color="FFFFFF"/>
              <w:right w:val="single" w:sz="4" w:space="0" w:color="FFFFFF"/>
            </w:tcBorders>
          </w:tcPr>
          <w:p w14:paraId="4A233633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3E32E93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D7E9464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C0FBC1B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FFFFFF"/>
              <w:right w:val="single" w:sz="4" w:space="0" w:color="FFFFFF"/>
            </w:tcBorders>
          </w:tcPr>
          <w:p w14:paraId="02B05AB6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  <w:right w:val="single" w:sz="4" w:space="0" w:color="FFFFFF"/>
            </w:tcBorders>
          </w:tcPr>
          <w:p w14:paraId="4294B82E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6C2DCD06" w14:textId="77777777" w:rsidTr="00F966C3">
        <w:trPr>
          <w:jc w:val="center"/>
        </w:trPr>
        <w:tc>
          <w:tcPr>
            <w:tcW w:w="3592" w:type="dxa"/>
            <w:gridSpan w:val="2"/>
            <w:shd w:val="clear" w:color="auto" w:fill="BFBFBF" w:themeFill="background1" w:themeFillShade="BF"/>
          </w:tcPr>
          <w:p w14:paraId="3BDC13DA" w14:textId="77777777" w:rsidR="00C70285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Client</w:t>
            </w:r>
          </w:p>
          <w:p w14:paraId="04F26FEF" w14:textId="77777777" w:rsidR="00C70285" w:rsidRDefault="009D6044" w:rsidP="00F966C3">
            <w:sdt>
              <w:sdtPr>
                <w:rPr>
                  <w:rFonts w:ascii="Arial" w:hAnsi="Arial" w:cs="Arial"/>
                  <w:sz w:val="20"/>
                  <w:szCs w:val="20"/>
                </w:rPr>
                <w:id w:val="16406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 w:rsidRPr="00DA20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285" w:rsidRPr="00DA209A">
              <w:rPr>
                <w:rFonts w:ascii="Arial" w:hAnsi="Arial" w:cs="Arial"/>
                <w:sz w:val="20"/>
                <w:szCs w:val="20"/>
              </w:rPr>
              <w:t xml:space="preserve">Propriétaire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00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 w:rsidRPr="00DA20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285" w:rsidRPr="00DA209A">
              <w:rPr>
                <w:rFonts w:ascii="Arial" w:hAnsi="Arial" w:cs="Arial"/>
                <w:sz w:val="20"/>
                <w:szCs w:val="20"/>
              </w:rPr>
              <w:t xml:space="preserve">Utilisateur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81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 w:rsidRPr="00DA20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285" w:rsidRPr="00DA209A">
              <w:rPr>
                <w:rFonts w:ascii="Arial" w:hAnsi="Arial" w:cs="Arial"/>
                <w:sz w:val="20"/>
                <w:szCs w:val="20"/>
              </w:rPr>
              <w:t>Syndic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63BCE037" w14:textId="77777777" w:rsidR="00C70285" w:rsidRPr="00A37A29" w:rsidRDefault="009D6044" w:rsidP="00F966C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84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 w:rsidRPr="00A37A2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0285" w:rsidRPr="00A37A29">
              <w:rPr>
                <w:rFonts w:ascii="Arial" w:hAnsi="Arial" w:cs="Arial"/>
                <w:sz w:val="20"/>
              </w:rPr>
              <w:t xml:space="preserve">Entreprise  </w:t>
            </w:r>
          </w:p>
          <w:p w14:paraId="5FF28741" w14:textId="77777777" w:rsidR="00C70285" w:rsidRPr="00DA209A" w:rsidRDefault="009D6044" w:rsidP="00F966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9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 w:rsidRPr="00A37A2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0285" w:rsidRPr="00A37A29">
              <w:rPr>
                <w:rFonts w:ascii="Arial" w:hAnsi="Arial" w:cs="Arial"/>
                <w:sz w:val="20"/>
              </w:rPr>
              <w:t>Privé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3BAA51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4"/>
            <w:shd w:val="clear" w:color="auto" w:fill="BFBFBF" w:themeFill="background1" w:themeFillShade="BF"/>
          </w:tcPr>
          <w:p w14:paraId="6A01E03B" w14:textId="77777777" w:rsidR="00C70285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Adresse de stockage si différente du client</w:t>
            </w:r>
          </w:p>
          <w:p w14:paraId="65042C8B" w14:textId="77777777" w:rsidR="00C70285" w:rsidRPr="00DA209A" w:rsidRDefault="009D6044" w:rsidP="00F966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38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 w:rsidRPr="003707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285" w:rsidRPr="003707C7">
              <w:rPr>
                <w:rFonts w:ascii="Arial" w:hAnsi="Arial" w:cs="Arial"/>
                <w:sz w:val="20"/>
                <w:szCs w:val="20"/>
              </w:rPr>
              <w:t xml:space="preserve">Pas d’application </w:t>
            </w:r>
          </w:p>
        </w:tc>
      </w:tr>
      <w:tr w:rsidR="00C70285" w14:paraId="4BFFB2C3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341F5B0A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31F44BDA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0EAD09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4210E6A5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Nom du contact :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D6D2082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7E84E986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4BC24F74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2B79D110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Rue et numéro : 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7B560DB4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58A9C1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77751239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Rue et numéro :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1490EFD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4AD0EA88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7826C8E3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786EEC21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Code postal et ville : 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5265A9C5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2EC71B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1A9916CD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Code postal et ville : 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E0C6E97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3DFB98EE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6C5671BC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02F591EC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Tél. : 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21EBBC1D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Gsm :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9C72E9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6BF14556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Tél. :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1FDD547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>Gsm :</w:t>
            </w: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21EBC0F6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  <w:tr w:rsidR="00C70285" w14:paraId="643F4346" w14:textId="77777777" w:rsidTr="00F966C3">
        <w:trPr>
          <w:jc w:val="center"/>
        </w:trPr>
        <w:tc>
          <w:tcPr>
            <w:tcW w:w="2098" w:type="dxa"/>
            <w:tcBorders>
              <w:right w:val="single" w:sz="4" w:space="0" w:color="FFFFFF"/>
            </w:tcBorders>
          </w:tcPr>
          <w:p w14:paraId="4B56275E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Email : </w:t>
            </w:r>
          </w:p>
        </w:tc>
        <w:tc>
          <w:tcPr>
            <w:tcW w:w="2855" w:type="dxa"/>
            <w:gridSpan w:val="2"/>
            <w:tcBorders>
              <w:left w:val="single" w:sz="4" w:space="0" w:color="FFFFFF"/>
            </w:tcBorders>
          </w:tcPr>
          <w:p w14:paraId="4331148B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4CEDF8B4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606AF3EB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  <w:r w:rsidRPr="00DA209A">
              <w:rPr>
                <w:rFonts w:ascii="Arial" w:hAnsi="Arial" w:cs="Arial"/>
                <w:sz w:val="20"/>
                <w:szCs w:val="20"/>
              </w:rPr>
              <w:t xml:space="preserve">Email : 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021C791C" w14:textId="77777777" w:rsidR="00C70285" w:rsidRPr="00DA209A" w:rsidRDefault="00C70285" w:rsidP="00F9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195EC885" w14:textId="77777777" w:rsidR="00C70285" w:rsidRPr="00672092" w:rsidRDefault="00C70285" w:rsidP="00F966C3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04C4AC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14:paraId="53F9D812" w14:textId="77777777" w:rsidR="00C70285" w:rsidRDefault="00C70285" w:rsidP="00C7028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Date </w:t>
      </w:r>
      <w:r w:rsidRPr="009B0116">
        <w:rPr>
          <w:rFonts w:ascii="Arial" w:eastAsia="Times New Roman" w:hAnsi="Arial" w:cs="Times New Roman"/>
          <w:b/>
          <w:sz w:val="20"/>
          <w:szCs w:val="20"/>
          <w:lang w:eastAsia="fr-FR"/>
        </w:rPr>
        <w:t>du contrôle: …../…../…..</w:t>
      </w:r>
    </w:p>
    <w:p w14:paraId="32E2FF5C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fr-FR"/>
        </w:rPr>
      </w:pPr>
      <w:r w:rsidRPr="009B0116">
        <w:rPr>
          <w:rFonts w:ascii="Arial" w:eastAsia="Times New Roman" w:hAnsi="Arial" w:cs="Times New Roman"/>
          <w:b/>
          <w:sz w:val="20"/>
          <w:szCs w:val="20"/>
          <w:lang w:eastAsia="fr-FR"/>
        </w:rPr>
        <w:t>Date du contrôle précédent : …../…../…..</w:t>
      </w:r>
      <w:r w:rsidRPr="009B0116">
        <w:rPr>
          <w:rFonts w:ascii="Arial" w:eastAsia="Times New Roman" w:hAnsi="Arial" w:cs="Times New Roman"/>
          <w:sz w:val="16"/>
          <w:szCs w:val="20"/>
          <w:lang w:eastAsia="fr-FR"/>
        </w:rPr>
        <w:tab/>
      </w:r>
      <w:r w:rsidRPr="009B0116">
        <w:rPr>
          <w:rFonts w:ascii="Arial" w:eastAsia="Times New Roman" w:hAnsi="Arial" w:cs="Times New Roman"/>
          <w:b/>
          <w:sz w:val="20"/>
          <w:szCs w:val="20"/>
          <w:lang w:eastAsia="fr-FR"/>
        </w:rPr>
        <w:t>Rapport disponible :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OUI</w:t>
      </w:r>
      <w:r w:rsidRPr="009B0116">
        <w:rPr>
          <w:rFonts w:ascii="Arial" w:eastAsia="Times New Roman" w:hAnsi="Arial" w:cs="Times New Roman"/>
          <w:b/>
          <w:sz w:val="20"/>
          <w:szCs w:val="20"/>
          <w:lang w:eastAsia="fr-FR"/>
        </w:rPr>
        <w:t>/NON</w:t>
      </w:r>
    </w:p>
    <w:p w14:paraId="496B3793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313FE35C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</w:pPr>
      <w:r w:rsidRPr="009B0116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>Identification du réservoir :</w:t>
      </w:r>
    </w:p>
    <w:p w14:paraId="7B021BE8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701"/>
        <w:gridCol w:w="1672"/>
      </w:tblGrid>
      <w:tr w:rsidR="00C70285" w:rsidRPr="009B0116" w14:paraId="7383FB5E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1AF58B2B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Capacité :</w:t>
            </w:r>
          </w:p>
        </w:tc>
        <w:tc>
          <w:tcPr>
            <w:tcW w:w="3373" w:type="dxa"/>
            <w:gridSpan w:val="2"/>
            <w:shd w:val="clear" w:color="auto" w:fill="auto"/>
            <w:hideMark/>
          </w:tcPr>
          <w:p w14:paraId="58E8BC13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………..litres</w:t>
            </w:r>
          </w:p>
        </w:tc>
      </w:tr>
      <w:tr w:rsidR="00C70285" w:rsidRPr="009B0116" w14:paraId="5556481A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294F3684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Matière :</w:t>
            </w:r>
          </w:p>
        </w:tc>
        <w:tc>
          <w:tcPr>
            <w:tcW w:w="1701" w:type="dxa"/>
            <w:shd w:val="clear" w:color="auto" w:fill="auto"/>
            <w:hideMark/>
          </w:tcPr>
          <w:p w14:paraId="5EEB390C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Métallique </w:t>
            </w:r>
          </w:p>
        </w:tc>
        <w:tc>
          <w:tcPr>
            <w:tcW w:w="1672" w:type="dxa"/>
            <w:shd w:val="clear" w:color="auto" w:fill="auto"/>
            <w:hideMark/>
          </w:tcPr>
          <w:p w14:paraId="00F86C10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Synthétique </w:t>
            </w:r>
          </w:p>
        </w:tc>
      </w:tr>
      <w:tr w:rsidR="00C70285" w:rsidRPr="009B0116" w14:paraId="1FE1EE71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6A18E051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Paroi :</w:t>
            </w:r>
          </w:p>
        </w:tc>
        <w:tc>
          <w:tcPr>
            <w:tcW w:w="1701" w:type="dxa"/>
            <w:shd w:val="clear" w:color="auto" w:fill="auto"/>
            <w:hideMark/>
          </w:tcPr>
          <w:p w14:paraId="576264AE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Simple</w:t>
            </w:r>
          </w:p>
        </w:tc>
        <w:tc>
          <w:tcPr>
            <w:tcW w:w="1672" w:type="dxa"/>
            <w:shd w:val="clear" w:color="auto" w:fill="auto"/>
            <w:hideMark/>
          </w:tcPr>
          <w:p w14:paraId="74BD5E92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Double</w:t>
            </w:r>
          </w:p>
        </w:tc>
      </w:tr>
      <w:tr w:rsidR="00C70285" w:rsidRPr="009B0116" w14:paraId="5D8FB32D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39853201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Présence d’un système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permanent </w:t>
            </w: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de détection de fuites ?</w:t>
            </w:r>
          </w:p>
        </w:tc>
        <w:tc>
          <w:tcPr>
            <w:tcW w:w="1701" w:type="dxa"/>
            <w:shd w:val="clear" w:color="auto" w:fill="auto"/>
            <w:hideMark/>
          </w:tcPr>
          <w:p w14:paraId="45DC18BE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672" w:type="dxa"/>
            <w:shd w:val="clear" w:color="auto" w:fill="auto"/>
            <w:hideMark/>
          </w:tcPr>
          <w:p w14:paraId="27AE1CB2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NON</w:t>
            </w:r>
          </w:p>
        </w:tc>
      </w:tr>
      <w:tr w:rsidR="00C70285" w:rsidRPr="009B0116" w14:paraId="37C44327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6CD9AF5E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Présence d’un système de prévention des débordements ? </w:t>
            </w:r>
          </w:p>
        </w:tc>
        <w:tc>
          <w:tcPr>
            <w:tcW w:w="1701" w:type="dxa"/>
            <w:shd w:val="clear" w:color="auto" w:fill="auto"/>
            <w:hideMark/>
          </w:tcPr>
          <w:p w14:paraId="7629AA2C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672" w:type="dxa"/>
            <w:shd w:val="clear" w:color="auto" w:fill="auto"/>
            <w:hideMark/>
          </w:tcPr>
          <w:p w14:paraId="37725218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NON </w:t>
            </w:r>
          </w:p>
        </w:tc>
      </w:tr>
      <w:tr w:rsidR="00C70285" w:rsidRPr="009B0116" w14:paraId="249430CA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7F51003D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Présence d’une protection cathodique ?</w:t>
            </w:r>
          </w:p>
        </w:tc>
        <w:tc>
          <w:tcPr>
            <w:tcW w:w="1701" w:type="dxa"/>
            <w:shd w:val="clear" w:color="auto" w:fill="auto"/>
            <w:hideMark/>
          </w:tcPr>
          <w:p w14:paraId="61831287" w14:textId="77777777" w:rsidR="00C70285" w:rsidRPr="00EC79A1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EC79A1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672" w:type="dxa"/>
            <w:shd w:val="clear" w:color="auto" w:fill="auto"/>
            <w:hideMark/>
          </w:tcPr>
          <w:p w14:paraId="7C6AB44F" w14:textId="77777777" w:rsidR="00C70285" w:rsidRPr="00EC79A1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EC79A1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NON </w:t>
            </w:r>
          </w:p>
        </w:tc>
      </w:tr>
      <w:tr w:rsidR="00C70285" w:rsidRPr="009B0116" w14:paraId="1A99C37A" w14:textId="77777777" w:rsidTr="00F966C3">
        <w:trPr>
          <w:trHeight w:val="2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730C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EC79A1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1</w:t>
            </w:r>
            <w:r w:rsidRPr="008C3005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EC79A1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périodique d’un réservoir existant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8001" w14:textId="77777777" w:rsidR="00C70285" w:rsidRPr="00EC79A1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EC79A1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8EBC" w14:textId="77777777" w:rsidR="00C70285" w:rsidRPr="00EC79A1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EC79A1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NON</w:t>
            </w:r>
          </w:p>
        </w:tc>
      </w:tr>
    </w:tbl>
    <w:p w14:paraId="17ECD87E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743A23F3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</w:pPr>
      <w:r w:rsidRPr="009B0116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>Contrôle du réservoir :</w:t>
      </w:r>
    </w:p>
    <w:p w14:paraId="75821ABC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410"/>
        <w:gridCol w:w="7"/>
        <w:gridCol w:w="1127"/>
        <w:gridCol w:w="50"/>
        <w:gridCol w:w="1084"/>
      </w:tblGrid>
      <w:tr w:rsidR="00C70285" w:rsidRPr="009B0116" w14:paraId="6DB61283" w14:textId="77777777" w:rsidTr="00F966C3">
        <w:tc>
          <w:tcPr>
            <w:tcW w:w="4673" w:type="dxa"/>
          </w:tcPr>
          <w:p w14:paraId="1B488912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Type de vérification :</w:t>
            </w:r>
          </w:p>
        </w:tc>
        <w:tc>
          <w:tcPr>
            <w:tcW w:w="4678" w:type="dxa"/>
            <w:gridSpan w:val="5"/>
          </w:tcPr>
          <w:p w14:paraId="48BF4B3C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>Remarques</w:t>
            </w:r>
            <w:r w:rsidRPr="009B0116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footnoteReference w:id="1"/>
            </w:r>
            <w:r w:rsidRPr="009B011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> :</w:t>
            </w:r>
          </w:p>
        </w:tc>
      </w:tr>
      <w:tr w:rsidR="00C70285" w:rsidRPr="009B0116" w14:paraId="64B3633D" w14:textId="77777777" w:rsidTr="00F966C3">
        <w:tc>
          <w:tcPr>
            <w:tcW w:w="4673" w:type="dxa"/>
          </w:tcPr>
          <w:p w14:paraId="7CF123FF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visuel des parties visibles du réservoir</w:t>
            </w:r>
          </w:p>
          <w:p w14:paraId="49FEE9F1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5361A994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33D92D1E" w14:textId="77777777" w:rsidTr="00F966C3">
        <w:tc>
          <w:tcPr>
            <w:tcW w:w="4673" w:type="dxa"/>
          </w:tcPr>
          <w:p w14:paraId="50F2F825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Examen des envi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rons de la zone de remplissage </w:t>
            </w: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(pour détecter une éventuelle pollution du sol)</w:t>
            </w:r>
          </w:p>
          <w:p w14:paraId="14268D3E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26054949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480BA52D" w14:textId="77777777" w:rsidTr="00F966C3">
        <w:tc>
          <w:tcPr>
            <w:tcW w:w="4673" w:type="dxa"/>
          </w:tcPr>
          <w:p w14:paraId="2DA4A932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 l’étanchéité des raccordements</w:t>
            </w:r>
          </w:p>
          <w:p w14:paraId="20FBC014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75047BBB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2869CB16" w14:textId="77777777" w:rsidTr="00F966C3">
        <w:tc>
          <w:tcPr>
            <w:tcW w:w="4673" w:type="dxa"/>
          </w:tcPr>
          <w:p w14:paraId="01CC8D16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Contrôle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de la présence et du fonctionnement des </w:t>
            </w: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accessoires (évents, jaugeage,…) </w:t>
            </w:r>
          </w:p>
          <w:p w14:paraId="1F4D4163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71D235E0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1B70B493" w14:textId="77777777" w:rsidTr="00F966C3">
        <w:tc>
          <w:tcPr>
            <w:tcW w:w="4673" w:type="dxa"/>
          </w:tcPr>
          <w:p w14:paraId="7DA0D671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F5532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 la présence d’eau ou de sédiments dans le réservoir</w:t>
            </w:r>
          </w:p>
          <w:p w14:paraId="1E4FA9E2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71350E41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21E422DD" w14:textId="77777777" w:rsidTr="00F966C3">
        <w:tc>
          <w:tcPr>
            <w:tcW w:w="4673" w:type="dxa"/>
          </w:tcPr>
          <w:p w14:paraId="4DCC20AD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 l’efficacité d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u système de prévention d</w:t>
            </w: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es débordements</w:t>
            </w:r>
          </w:p>
          <w:p w14:paraId="2B0E6C4F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635DD5E8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3C2E5B05" w14:textId="77777777" w:rsidTr="00F966C3">
        <w:tc>
          <w:tcPr>
            <w:tcW w:w="4673" w:type="dxa"/>
          </w:tcPr>
          <w:p w14:paraId="481A3C3F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lastRenderedPageBreak/>
              <w:t>Contrôle de l’efficacité du système permanent de détection de fuites</w:t>
            </w:r>
          </w:p>
          <w:p w14:paraId="31860D10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7EAFDFEC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758F8C7B" w14:textId="77777777" w:rsidTr="00F966C3">
        <w:tc>
          <w:tcPr>
            <w:tcW w:w="4673" w:type="dxa"/>
          </w:tcPr>
          <w:p w14:paraId="59669313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22E1A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des alarmes couplées à ces systèmes</w:t>
            </w:r>
          </w:p>
          <w:p w14:paraId="4F252BF3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6013E044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5B1A6082" w14:textId="77777777" w:rsidTr="00F966C3">
        <w:trPr>
          <w:trHeight w:val="170"/>
        </w:trPr>
        <w:tc>
          <w:tcPr>
            <w:tcW w:w="4673" w:type="dxa"/>
            <w:vMerge w:val="restart"/>
          </w:tcPr>
          <w:p w14:paraId="1F0D4D96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22E1A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 la corrosivité du sol</w:t>
            </w:r>
            <w:r w:rsidRPr="00622E1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fr-FR"/>
              </w:rPr>
              <w:footnoteReference w:id="2"/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réalisé par un expert en protection cathodique</w:t>
            </w:r>
          </w:p>
          <w:p w14:paraId="5C66338E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14:paraId="57D4B40A" w14:textId="77777777" w:rsidR="00C70285" w:rsidRPr="00460FEC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Nom de l’expert</w:t>
            </w:r>
          </w:p>
        </w:tc>
        <w:tc>
          <w:tcPr>
            <w:tcW w:w="2268" w:type="dxa"/>
            <w:gridSpan w:val="4"/>
          </w:tcPr>
          <w:p w14:paraId="160BBB3A" w14:textId="77777777" w:rsidR="00C70285" w:rsidRPr="00460FEC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C70285" w:rsidRPr="009B0116" w14:paraId="4C59546E" w14:textId="77777777" w:rsidTr="00F966C3">
        <w:trPr>
          <w:trHeight w:val="170"/>
        </w:trPr>
        <w:tc>
          <w:tcPr>
            <w:tcW w:w="4673" w:type="dxa"/>
            <w:vMerge/>
          </w:tcPr>
          <w:p w14:paraId="1DF53D29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14:paraId="643810E1" w14:textId="77777777" w:rsidR="00C70285" w:rsidRPr="00460FEC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460FE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Contrôle effectué ? </w:t>
            </w:r>
          </w:p>
        </w:tc>
        <w:tc>
          <w:tcPr>
            <w:tcW w:w="1134" w:type="dxa"/>
            <w:gridSpan w:val="2"/>
          </w:tcPr>
          <w:p w14:paraId="55EC7069" w14:textId="77777777" w:rsidR="00C70285" w:rsidRPr="00460FEC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460FE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134" w:type="dxa"/>
            <w:gridSpan w:val="2"/>
          </w:tcPr>
          <w:p w14:paraId="6AA162D4" w14:textId="77777777" w:rsidR="00C70285" w:rsidRPr="00460FEC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460FE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NON</w:t>
            </w:r>
          </w:p>
        </w:tc>
      </w:tr>
      <w:tr w:rsidR="00C70285" w:rsidRPr="009B0116" w14:paraId="668ABA7E" w14:textId="77777777" w:rsidTr="00F966C3">
        <w:trPr>
          <w:trHeight w:val="170"/>
        </w:trPr>
        <w:tc>
          <w:tcPr>
            <w:tcW w:w="4673" w:type="dxa"/>
            <w:vMerge/>
          </w:tcPr>
          <w:p w14:paraId="1A08CBA4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5E791796" w14:textId="77777777" w:rsidR="00C70285" w:rsidRPr="00532408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Résultats</w:t>
            </w:r>
          </w:p>
        </w:tc>
      </w:tr>
      <w:tr w:rsidR="00C70285" w:rsidRPr="009B0116" w14:paraId="0CDBBFD1" w14:textId="77777777" w:rsidTr="00F966C3">
        <w:trPr>
          <w:trHeight w:val="170"/>
        </w:trPr>
        <w:tc>
          <w:tcPr>
            <w:tcW w:w="4673" w:type="dxa"/>
            <w:vMerge/>
          </w:tcPr>
          <w:p w14:paraId="73216E47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gridSpan w:val="2"/>
          </w:tcPr>
          <w:p w14:paraId="64909952" w14:textId="77777777" w:rsidR="00C70285" w:rsidRPr="006476DF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6476DF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Résistivité du sol (ohm.cm)</w:t>
            </w:r>
          </w:p>
        </w:tc>
        <w:tc>
          <w:tcPr>
            <w:tcW w:w="2261" w:type="dxa"/>
            <w:gridSpan w:val="3"/>
          </w:tcPr>
          <w:p w14:paraId="1A56BEA0" w14:textId="77777777" w:rsidR="00C70285" w:rsidRPr="006476DF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C70285" w:rsidRPr="009B0116" w14:paraId="6D9E0691" w14:textId="77777777" w:rsidTr="00F966C3">
        <w:trPr>
          <w:trHeight w:val="170"/>
        </w:trPr>
        <w:tc>
          <w:tcPr>
            <w:tcW w:w="4673" w:type="dxa"/>
            <w:vMerge/>
          </w:tcPr>
          <w:p w14:paraId="655A7789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gridSpan w:val="2"/>
          </w:tcPr>
          <w:p w14:paraId="5AA8AEF7" w14:textId="77777777" w:rsidR="00C70285" w:rsidRPr="006476DF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pH du sol</w:t>
            </w:r>
          </w:p>
        </w:tc>
        <w:tc>
          <w:tcPr>
            <w:tcW w:w="2261" w:type="dxa"/>
            <w:gridSpan w:val="3"/>
          </w:tcPr>
          <w:p w14:paraId="144D1EA9" w14:textId="77777777" w:rsidR="00C70285" w:rsidRPr="006476DF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C70285" w:rsidRPr="009B0116" w14:paraId="7565F8A3" w14:textId="77777777" w:rsidTr="00F966C3">
        <w:trPr>
          <w:trHeight w:val="170"/>
        </w:trPr>
        <w:tc>
          <w:tcPr>
            <w:tcW w:w="4673" w:type="dxa"/>
            <w:vMerge/>
          </w:tcPr>
          <w:p w14:paraId="626EEC53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7" w:type="dxa"/>
            <w:gridSpan w:val="2"/>
          </w:tcPr>
          <w:p w14:paraId="546D0B89" w14:textId="77777777" w:rsidR="00C70285" w:rsidRPr="006476DF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Présence courant vagabonds</w:t>
            </w:r>
          </w:p>
        </w:tc>
        <w:tc>
          <w:tcPr>
            <w:tcW w:w="1177" w:type="dxa"/>
            <w:gridSpan w:val="2"/>
          </w:tcPr>
          <w:p w14:paraId="7660695F" w14:textId="77777777" w:rsidR="00C70285" w:rsidRPr="006476DF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084" w:type="dxa"/>
          </w:tcPr>
          <w:p w14:paraId="6BB76336" w14:textId="77777777" w:rsidR="00C70285" w:rsidRPr="006476DF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NON</w:t>
            </w:r>
          </w:p>
        </w:tc>
      </w:tr>
      <w:tr w:rsidR="00C70285" w:rsidRPr="009B0116" w14:paraId="09E22373" w14:textId="77777777" w:rsidTr="00F966C3">
        <w:trPr>
          <w:trHeight w:val="170"/>
        </w:trPr>
        <w:tc>
          <w:tcPr>
            <w:tcW w:w="4673" w:type="dxa"/>
            <w:vMerge/>
          </w:tcPr>
          <w:p w14:paraId="64008650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032DAA12" w14:textId="77777777" w:rsidR="00C70285" w:rsidRPr="009B0116" w:rsidRDefault="00C70285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Conclusion (1 choix possible)</w:t>
            </w:r>
          </w:p>
        </w:tc>
      </w:tr>
      <w:tr w:rsidR="00C70285" w:rsidRPr="009B0116" w14:paraId="2EE45FB4" w14:textId="77777777" w:rsidTr="00F966C3">
        <w:trPr>
          <w:trHeight w:val="170"/>
        </w:trPr>
        <w:tc>
          <w:tcPr>
            <w:tcW w:w="4673" w:type="dxa"/>
            <w:vMerge/>
          </w:tcPr>
          <w:p w14:paraId="43769B04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14:paraId="3825C7AE" w14:textId="77777777" w:rsidR="00C70285" w:rsidRPr="00460FEC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460FE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Protection cathodique pas nécessaire </w:t>
            </w:r>
          </w:p>
        </w:tc>
        <w:tc>
          <w:tcPr>
            <w:tcW w:w="2268" w:type="dxa"/>
            <w:gridSpan w:val="4"/>
          </w:tcPr>
          <w:p w14:paraId="1C6A2399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5DA40B94" w14:textId="77777777" w:rsidTr="00F966C3">
        <w:trPr>
          <w:trHeight w:val="169"/>
        </w:trPr>
        <w:tc>
          <w:tcPr>
            <w:tcW w:w="4673" w:type="dxa"/>
            <w:vMerge/>
          </w:tcPr>
          <w:p w14:paraId="0A383BEF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14:paraId="2A5FF480" w14:textId="77777777" w:rsidR="00C70285" w:rsidRPr="00460FEC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460FE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Mise hors service d’un réservoir &gt; 10.000 litres</w:t>
            </w:r>
          </w:p>
        </w:tc>
        <w:tc>
          <w:tcPr>
            <w:tcW w:w="2268" w:type="dxa"/>
            <w:gridSpan w:val="4"/>
          </w:tcPr>
          <w:p w14:paraId="3E33A093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39303D1C" w14:textId="77777777" w:rsidTr="00F966C3">
        <w:trPr>
          <w:trHeight w:val="1185"/>
        </w:trPr>
        <w:tc>
          <w:tcPr>
            <w:tcW w:w="4673" w:type="dxa"/>
            <w:vMerge/>
          </w:tcPr>
          <w:p w14:paraId="795D2758" w14:textId="77777777" w:rsidR="00C70285" w:rsidRPr="00622E1A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14:paraId="05BB6178" w14:textId="77777777" w:rsidR="00C70285" w:rsidRPr="00460FEC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460FE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Dérogation possible à la mise hors service pour les dépôts </w:t>
            </w:r>
            <w:r w:rsidRPr="00460F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≤</w:t>
            </w:r>
            <w:r w:rsidRPr="00460FE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10.000 litres efficacement mis à la terre</w:t>
            </w:r>
          </w:p>
        </w:tc>
        <w:tc>
          <w:tcPr>
            <w:tcW w:w="2268" w:type="dxa"/>
            <w:gridSpan w:val="4"/>
          </w:tcPr>
          <w:p w14:paraId="0096EDDF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765948B1" w14:textId="77777777" w:rsidTr="00F966C3">
        <w:tc>
          <w:tcPr>
            <w:tcW w:w="4673" w:type="dxa"/>
          </w:tcPr>
          <w:p w14:paraId="0AA51E63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 la paroi intérieure</w:t>
            </w:r>
            <w:r w:rsidRPr="009B0116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footnoteReference w:id="3"/>
            </w:r>
          </w:p>
          <w:p w14:paraId="7B8B7847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30924477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10CF204B" w14:textId="77777777" w:rsidTr="00F966C3">
        <w:tc>
          <w:tcPr>
            <w:tcW w:w="4673" w:type="dxa"/>
          </w:tcPr>
          <w:p w14:paraId="5A46A8BB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 l’étanchéité de l’installation complète</w:t>
            </w:r>
            <w:r w:rsidRPr="009B0116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9B011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9B0116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3C406A4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723FB351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60D51A7E" w14:textId="77777777" w:rsidTr="00F966C3">
        <w:tc>
          <w:tcPr>
            <w:tcW w:w="4673" w:type="dxa"/>
          </w:tcPr>
          <w:p w14:paraId="75168614" w14:textId="77777777" w:rsidR="00C70285" w:rsidRPr="00871292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871292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des équipements de protection cathodique</w:t>
            </w:r>
            <w:r w:rsidRPr="00871292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Pr="00871292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7C22AD3D" w14:textId="77777777" w:rsidR="00C70285" w:rsidRPr="00871292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595D06A7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70285" w:rsidRPr="009B0116" w14:paraId="4CE20FDF" w14:textId="77777777" w:rsidTr="00F966C3">
        <w:tc>
          <w:tcPr>
            <w:tcW w:w="4673" w:type="dxa"/>
          </w:tcPr>
          <w:p w14:paraId="6A664E34" w14:textId="77777777" w:rsidR="00C70285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871292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Contrôle de la mise à la terre</w:t>
            </w:r>
            <w:r w:rsidRPr="00871292">
              <w:rPr>
                <w:rStyle w:val="Appelnotedebasdep"/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footnoteReference w:id="6"/>
            </w:r>
            <w:r w:rsidRPr="00871292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71D31973" w14:textId="77777777" w:rsidR="00C70285" w:rsidRPr="00871292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5"/>
          </w:tcPr>
          <w:p w14:paraId="4A843495" w14:textId="77777777" w:rsidR="00C70285" w:rsidRPr="009B0116" w:rsidRDefault="00C70285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1787AC64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9B0116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9B0116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9B0116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9B0116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9B0116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9B0116"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0285" w14:paraId="68916F62" w14:textId="77777777" w:rsidTr="00F966C3">
        <w:trPr>
          <w:trHeight w:val="1135"/>
        </w:trPr>
        <w:tc>
          <w:tcPr>
            <w:tcW w:w="9351" w:type="dxa"/>
          </w:tcPr>
          <w:p w14:paraId="4AED2BA7" w14:textId="77777777" w:rsidR="00C70285" w:rsidRDefault="00C70285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Je déclare avoir effectué les contrôles qui sont prévus par la législation.</w:t>
            </w:r>
          </w:p>
          <w:p w14:paraId="07B08FC5" w14:textId="77777777" w:rsidR="00C70285" w:rsidRDefault="00C70285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1B8833D6" w14:textId="77777777" w:rsidR="00C70285" w:rsidRDefault="00C70285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Je déclare l’installation : </w:t>
            </w:r>
          </w:p>
          <w:p w14:paraId="53396638" w14:textId="77777777" w:rsidR="00C70285" w:rsidRDefault="00C70285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5C134523" w14:textId="77777777" w:rsidR="00C70285" w:rsidRDefault="009D6044" w:rsidP="00F966C3">
            <w:pPr>
              <w:ind w:left="708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fr-FR"/>
                </w:rPr>
                <w:id w:val="61718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70285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CONFORME (Plaquette de contrôle verte)</w:t>
            </w:r>
          </w:p>
          <w:p w14:paraId="6A5044E7" w14:textId="77777777" w:rsidR="00C70285" w:rsidRDefault="009D6044" w:rsidP="00F966C3">
            <w:pPr>
              <w:ind w:left="708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fr-FR"/>
                </w:rPr>
                <w:id w:val="20889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70285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NON CONFORME (Plaquette de contrôle orange - Sans pollution du sol)</w:t>
            </w:r>
          </w:p>
          <w:p w14:paraId="24702F0E" w14:textId="77777777" w:rsidR="00C70285" w:rsidRDefault="009D6044" w:rsidP="00F966C3">
            <w:pPr>
              <w:ind w:left="708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fr-FR"/>
                </w:rPr>
                <w:id w:val="2811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8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70285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NON CONFORME (Plaquette de contrôle rouge - Avec pollution du sol)</w:t>
            </w:r>
          </w:p>
          <w:p w14:paraId="7EC9FD74" w14:textId="77777777" w:rsidR="00C70285" w:rsidRDefault="00C70285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260D5563" w14:textId="77777777" w:rsidR="00C70285" w:rsidRDefault="00C70285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à l’arrêté </w:t>
            </w:r>
            <w:r w:rsidRPr="003631A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du Gouvernement de la Région de Bruxelles-Capitale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du 1</w:t>
            </w:r>
            <w:r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février 2018</w:t>
            </w:r>
            <w:r w:rsidRPr="003631A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relatif aux dépôts de liquides inflammables utilisés comme combustible.</w:t>
            </w:r>
          </w:p>
        </w:tc>
      </w:tr>
    </w:tbl>
    <w:p w14:paraId="2E6AFA30" w14:textId="77777777" w:rsidR="00C70285" w:rsidRPr="0022349A" w:rsidRDefault="00C70285" w:rsidP="00C7028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70285" w:rsidRPr="0022349A" w14:paraId="54F7324E" w14:textId="77777777" w:rsidTr="00F966C3">
        <w:trPr>
          <w:trHeight w:val="744"/>
        </w:trPr>
        <w:tc>
          <w:tcPr>
            <w:tcW w:w="9351" w:type="dxa"/>
          </w:tcPr>
          <w:p w14:paraId="590CD961" w14:textId="77777777" w:rsidR="00C70285" w:rsidRDefault="00C70285" w:rsidP="00F966C3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CFC4530" w14:textId="77777777" w:rsidR="00C70285" w:rsidRPr="0022349A" w:rsidRDefault="00C70285" w:rsidP="00F966C3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0D5D8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Date limite du prochain contrôle : …./…./……..</w:t>
            </w:r>
          </w:p>
        </w:tc>
      </w:tr>
    </w:tbl>
    <w:tbl>
      <w:tblPr>
        <w:tblStyle w:val="Grilledutableau"/>
        <w:tblpPr w:leftFromText="141" w:rightFromText="141" w:vertAnchor="text" w:horzAnchor="margin" w:tblpY="-623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70285" w14:paraId="53EBF67C" w14:textId="77777777" w:rsidTr="00F966C3">
        <w:trPr>
          <w:trHeight w:val="1030"/>
        </w:trPr>
        <w:tc>
          <w:tcPr>
            <w:tcW w:w="4678" w:type="dxa"/>
          </w:tcPr>
          <w:p w14:paraId="2A51BB72" w14:textId="77777777" w:rsidR="00C70285" w:rsidRDefault="00C70285" w:rsidP="00F966C3">
            <w:pP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1C90C77A" w14:textId="77777777" w:rsidR="00C70285" w:rsidRDefault="00C70285" w:rsidP="00F966C3">
            <w:pP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79415C99" w14:textId="77777777" w:rsidR="00C70285" w:rsidRDefault="00C70285" w:rsidP="00F966C3">
            <w:pP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5B8A4C25" w14:textId="77777777" w:rsidR="00C70285" w:rsidRDefault="00C70285" w:rsidP="00F966C3">
            <w:pP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Signature expert </w:t>
            </w:r>
          </w:p>
        </w:tc>
        <w:tc>
          <w:tcPr>
            <w:tcW w:w="4678" w:type="dxa"/>
          </w:tcPr>
          <w:p w14:paraId="63981D4D" w14:textId="77777777" w:rsidR="00C70285" w:rsidRDefault="00C70285" w:rsidP="00F966C3">
            <w:pP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                                                   Pour notification</w:t>
            </w:r>
          </w:p>
          <w:p w14:paraId="5DA90875" w14:textId="77777777" w:rsidR="00C70285" w:rsidRDefault="00C70285" w:rsidP="00F966C3">
            <w:pP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38B66984" w14:textId="77777777" w:rsidR="00C70285" w:rsidRDefault="00C70285" w:rsidP="00F966C3">
            <w:pP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48FAADD7" w14:textId="77777777" w:rsidR="00C70285" w:rsidRDefault="00C70285" w:rsidP="00F966C3">
            <w:pP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Signature client</w:t>
            </w:r>
          </w:p>
        </w:tc>
      </w:tr>
    </w:tbl>
    <w:p w14:paraId="1E5BC3AC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416E620B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42B4218E" w14:textId="77777777" w:rsidR="00C70285" w:rsidRPr="009B0116" w:rsidRDefault="00C70285" w:rsidP="00C7028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14:paraId="13780B19" w14:textId="77777777" w:rsidR="00C70285" w:rsidRPr="00AA5078" w:rsidRDefault="00C70285" w:rsidP="00C70285">
      <w:pPr>
        <w:rPr>
          <w:rFonts w:ascii="Arial" w:hAnsi="Arial" w:cs="Arial"/>
          <w:sz w:val="18"/>
          <w:u w:val="single"/>
        </w:rPr>
      </w:pPr>
      <w:r w:rsidRPr="00AA5078">
        <w:rPr>
          <w:rFonts w:ascii="Arial" w:hAnsi="Arial" w:cs="Arial"/>
          <w:sz w:val="18"/>
          <w:u w:val="single"/>
        </w:rPr>
        <w:t>Informations par rapport aux éléments de sécurité bénéficiant d’une période transitoire</w:t>
      </w:r>
      <w:r w:rsidRPr="00AA5078">
        <w:rPr>
          <w:rStyle w:val="Appelnotedebasdep"/>
          <w:rFonts w:ascii="Arial" w:hAnsi="Arial" w:cs="Arial"/>
          <w:sz w:val="18"/>
          <w:u w:val="single"/>
        </w:rPr>
        <w:footnoteReference w:id="7"/>
      </w:r>
    </w:p>
    <w:tbl>
      <w:tblPr>
        <w:tblpPr w:leftFromText="141" w:rightFromText="141" w:vertAnchor="page" w:horzAnchor="margin" w:tblpY="303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4"/>
        <w:gridCol w:w="2694"/>
        <w:gridCol w:w="1274"/>
      </w:tblGrid>
      <w:tr w:rsidR="00C70285" w:rsidRPr="005B7817" w14:paraId="67ACD36E" w14:textId="77777777" w:rsidTr="00F966C3">
        <w:trPr>
          <w:trHeight w:val="968"/>
        </w:trPr>
        <w:tc>
          <w:tcPr>
            <w:tcW w:w="510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F4E6EA2" w14:textId="77777777" w:rsidR="00C70285" w:rsidRPr="00AA5078" w:rsidRDefault="00C70285" w:rsidP="00F966C3">
            <w:pPr>
              <w:keepNext/>
              <w:jc w:val="center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Quel type de réservoir ?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EF731A9" w14:textId="77777777" w:rsidR="00C70285" w:rsidRPr="00AA5078" w:rsidRDefault="00C70285" w:rsidP="00F966C3">
            <w:pPr>
              <w:keepNext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Échéance du 1</w:t>
            </w:r>
            <w:r w:rsidRPr="00AA5078">
              <w:rPr>
                <w:rFonts w:ascii="Arial" w:hAnsi="Arial" w:cs="Arial"/>
                <w:bCs/>
                <w:sz w:val="18"/>
                <w:vertAlign w:val="superscript"/>
              </w:rPr>
              <w:t>er</w:t>
            </w:r>
            <w:r w:rsidRPr="00AA5078">
              <w:rPr>
                <w:rFonts w:ascii="Arial" w:hAnsi="Arial" w:cs="Arial"/>
                <w:bCs/>
                <w:sz w:val="18"/>
              </w:rPr>
              <w:t xml:space="preserve"> contrôle et fréquence des contrôles périodiques suivants</w:t>
            </w:r>
          </w:p>
        </w:tc>
        <w:tc>
          <w:tcPr>
            <w:tcW w:w="127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C39277D" w14:textId="77777777" w:rsidR="00C70285" w:rsidRPr="00AA5078" w:rsidRDefault="00C70285" w:rsidP="00F966C3">
            <w:pPr>
              <w:keepNext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Échéance de la mise en conformité</w:t>
            </w:r>
          </w:p>
        </w:tc>
      </w:tr>
      <w:tr w:rsidR="00C70285" w:rsidRPr="005B7817" w14:paraId="7158A83C" w14:textId="77777777" w:rsidTr="00F966C3">
        <w:trPr>
          <w:trHeight w:val="1304"/>
        </w:trPr>
        <w:tc>
          <w:tcPr>
            <w:tcW w:w="510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C3807E3" w14:textId="77777777" w:rsidR="00C70285" w:rsidRPr="00AA5078" w:rsidRDefault="00C70285" w:rsidP="00F966C3">
            <w:pPr>
              <w:keepNext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 xml:space="preserve">Réservoir enfoui existant &gt; 10.000 litres </w:t>
            </w:r>
            <w:r w:rsidRPr="00AA5078">
              <w:rPr>
                <w:rFonts w:ascii="Arial" w:hAnsi="Arial" w:cs="Arial"/>
                <w:bCs/>
                <w:sz w:val="18"/>
                <w:u w:val="single"/>
              </w:rPr>
              <w:t>non équipé</w:t>
            </w:r>
            <w:r w:rsidRPr="00AA5078">
              <w:rPr>
                <w:rFonts w:ascii="Arial" w:hAnsi="Arial" w:cs="Arial"/>
                <w:bCs/>
                <w:sz w:val="18"/>
              </w:rPr>
              <w:t> :</w:t>
            </w:r>
          </w:p>
          <w:p w14:paraId="3C938301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 système de prévention de débordement</w:t>
            </w:r>
          </w:p>
          <w:p w14:paraId="02159ACE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 évent débouchant à l’air libre</w:t>
            </w:r>
          </w:p>
          <w:p w14:paraId="11E0715C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d’une double paroi avec système permanent de détection des fuites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A698374" w14:textId="77777777" w:rsidR="00C70285" w:rsidRPr="00AA5078" w:rsidRDefault="00C70285" w:rsidP="00F966C3">
            <w:pPr>
              <w:keepNext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sz w:val="18"/>
              </w:rPr>
              <w:t>Premier contrôle périodique avant le 27/08/2020 puis chaque année jusqu’au 27/0</w:t>
            </w:r>
            <w:r>
              <w:rPr>
                <w:rFonts w:ascii="Arial" w:hAnsi="Arial" w:cs="Arial"/>
                <w:sz w:val="18"/>
              </w:rPr>
              <w:t>2</w:t>
            </w:r>
            <w:r w:rsidRPr="00AA5078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2</w:t>
            </w:r>
          </w:p>
          <w:p w14:paraId="6CE4F059" w14:textId="77777777" w:rsidR="00C70285" w:rsidRPr="00AA5078" w:rsidRDefault="00C70285" w:rsidP="00F966C3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5E58629" w14:textId="77777777" w:rsidR="00C70285" w:rsidRPr="00AA5078" w:rsidRDefault="00C70285" w:rsidP="00F966C3">
            <w:pPr>
              <w:keepNext/>
              <w:jc w:val="center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sz w:val="18"/>
              </w:rPr>
              <w:t>27/0</w:t>
            </w:r>
            <w:r>
              <w:rPr>
                <w:rFonts w:ascii="Arial" w:hAnsi="Arial" w:cs="Arial"/>
                <w:sz w:val="18"/>
              </w:rPr>
              <w:t>2</w:t>
            </w:r>
            <w:r w:rsidRPr="00AA5078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C70285" w:rsidRPr="005B7817" w14:paraId="009182D5" w14:textId="77777777" w:rsidTr="00F966C3">
        <w:trPr>
          <w:trHeight w:val="1304"/>
        </w:trPr>
        <w:tc>
          <w:tcPr>
            <w:tcW w:w="510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13B01BA" w14:textId="77777777" w:rsidR="00C70285" w:rsidRPr="00AA5078" w:rsidRDefault="00C70285" w:rsidP="00F966C3">
            <w:pPr>
              <w:keepNext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 xml:space="preserve">Réservoir enfoui existant ≤ 10.000 litres </w:t>
            </w:r>
            <w:r w:rsidRPr="00AA5078">
              <w:rPr>
                <w:rFonts w:ascii="Arial" w:hAnsi="Arial" w:cs="Arial"/>
                <w:bCs/>
                <w:sz w:val="18"/>
                <w:u w:val="single"/>
              </w:rPr>
              <w:t>non équipé</w:t>
            </w:r>
            <w:r w:rsidRPr="00AA5078">
              <w:rPr>
                <w:rFonts w:ascii="Arial" w:hAnsi="Arial" w:cs="Arial"/>
                <w:bCs/>
                <w:sz w:val="18"/>
              </w:rPr>
              <w:t> :</w:t>
            </w:r>
          </w:p>
          <w:p w14:paraId="7FBE2731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 système de prévention de débordement</w:t>
            </w:r>
          </w:p>
          <w:p w14:paraId="3CF26EEC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 évent débouchant à l’air libre</w:t>
            </w:r>
          </w:p>
          <w:p w14:paraId="3B9631C5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d’une double paroi avec système permanent de détection des fuites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C002AD6" w14:textId="77777777" w:rsidR="00C70285" w:rsidRPr="00AA5078" w:rsidRDefault="00C70285" w:rsidP="00F966C3">
            <w:pPr>
              <w:keepNext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sz w:val="18"/>
              </w:rPr>
              <w:t>Premier contrôle périodique avant le 27/08/2020 puis chaque année jusqu’au 27/08/2023</w:t>
            </w:r>
          </w:p>
        </w:tc>
        <w:tc>
          <w:tcPr>
            <w:tcW w:w="127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D78062A" w14:textId="77777777" w:rsidR="00C70285" w:rsidRPr="00AA5078" w:rsidRDefault="00C70285" w:rsidP="00F966C3">
            <w:pPr>
              <w:keepNext/>
              <w:jc w:val="center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sz w:val="18"/>
              </w:rPr>
              <w:t>27/08/2023*</w:t>
            </w:r>
          </w:p>
        </w:tc>
      </w:tr>
    </w:tbl>
    <w:p w14:paraId="6954C55F" w14:textId="77777777" w:rsidR="00C70285" w:rsidRDefault="00C70285" w:rsidP="00C70285">
      <w:pPr>
        <w:jc w:val="both"/>
        <w:rPr>
          <w:rFonts w:ascii="Arial" w:hAnsi="Arial" w:cs="Arial"/>
          <w:sz w:val="18"/>
        </w:rPr>
      </w:pPr>
    </w:p>
    <w:p w14:paraId="7424BCDA" w14:textId="77777777" w:rsidR="00C70285" w:rsidRPr="00AA5078" w:rsidRDefault="00C70285" w:rsidP="00C70285">
      <w:pPr>
        <w:jc w:val="both"/>
        <w:rPr>
          <w:rFonts w:ascii="Arial" w:hAnsi="Arial" w:cs="Arial"/>
          <w:sz w:val="18"/>
        </w:rPr>
      </w:pPr>
      <w:r w:rsidRPr="00AA5078">
        <w:rPr>
          <w:rFonts w:ascii="Arial" w:hAnsi="Arial" w:cs="Arial"/>
          <w:sz w:val="18"/>
        </w:rPr>
        <w:t>* Les réservoirs ≤ 10.000 litres non équipés d’une double paroi ou paroi doublée avec système permanent de détection des fuites après le 27/08/2023 devront subir des contrôles périodiques annuels.</w:t>
      </w:r>
    </w:p>
    <w:p w14:paraId="406DFFB7" w14:textId="77777777" w:rsidR="00C70285" w:rsidRPr="00AA5078" w:rsidRDefault="00C70285" w:rsidP="00C70285">
      <w:pPr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A5078">
        <w:rPr>
          <w:rFonts w:ascii="Arial" w:hAnsi="Arial" w:cs="Arial"/>
          <w:sz w:val="18"/>
        </w:rPr>
        <w:t>Les réservoirs métalliques non équipés à l’origine d’une protection cathodique conforme et situé dans une zone de protection de captage doivent être mis hors service pour le 27/08/2020 au plus tard.</w:t>
      </w:r>
    </w:p>
    <w:p w14:paraId="56F7E785" w14:textId="77777777" w:rsidR="00C70285" w:rsidRPr="00AA5078" w:rsidRDefault="00C70285" w:rsidP="00C70285">
      <w:pPr>
        <w:keepNext/>
        <w:widowControl w:val="0"/>
        <w:spacing w:after="0" w:line="240" w:lineRule="auto"/>
        <w:ind w:left="720"/>
        <w:jc w:val="both"/>
        <w:rPr>
          <w:rFonts w:ascii="Arial" w:hAnsi="Arial" w:cs="Arial"/>
          <w:sz w:val="18"/>
        </w:rPr>
      </w:pPr>
    </w:p>
    <w:p w14:paraId="7F79C390" w14:textId="77777777" w:rsidR="00C70285" w:rsidRPr="00AA5078" w:rsidRDefault="00C70285" w:rsidP="00C70285">
      <w:pPr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A5078">
        <w:rPr>
          <w:rFonts w:ascii="Arial" w:hAnsi="Arial" w:cs="Arial"/>
          <w:sz w:val="18"/>
        </w:rPr>
        <w:t>Lorsque le premier contrôle périodique d’un réservoir métallique indique qu’une protection cathodique est nécessaire et que le réservoir n’est pas muni d’une telle protection :</w:t>
      </w:r>
    </w:p>
    <w:p w14:paraId="7D505AE1" w14:textId="77777777" w:rsidR="00C70285" w:rsidRPr="00AA5078" w:rsidRDefault="00C70285" w:rsidP="00C70285">
      <w:pPr>
        <w:keepNext/>
        <w:widowControl w:val="0"/>
        <w:spacing w:after="0" w:line="240" w:lineRule="auto"/>
        <w:ind w:left="720"/>
        <w:jc w:val="both"/>
        <w:rPr>
          <w:rFonts w:ascii="Arial" w:hAnsi="Arial" w:cs="Arial"/>
          <w:sz w:val="18"/>
        </w:rPr>
      </w:pPr>
    </w:p>
    <w:p w14:paraId="0EBB556A" w14:textId="77777777" w:rsidR="00C70285" w:rsidRPr="00AA5078" w:rsidRDefault="00C70285" w:rsidP="00C70285">
      <w:pPr>
        <w:keepNext/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A5078">
        <w:rPr>
          <w:rFonts w:ascii="Arial" w:hAnsi="Arial" w:cs="Arial"/>
          <w:sz w:val="18"/>
        </w:rPr>
        <w:t>le réservoir &gt; 10.000 litres est mis hors service pour le 27/0</w:t>
      </w:r>
      <w:r>
        <w:rPr>
          <w:rFonts w:ascii="Arial" w:hAnsi="Arial" w:cs="Arial"/>
          <w:sz w:val="18"/>
        </w:rPr>
        <w:t>2</w:t>
      </w:r>
      <w:r w:rsidRPr="00AA5078">
        <w:rPr>
          <w:rFonts w:ascii="Arial" w:hAnsi="Arial" w:cs="Arial"/>
          <w:sz w:val="18"/>
        </w:rPr>
        <w:t>/202</w:t>
      </w:r>
      <w:r>
        <w:rPr>
          <w:rFonts w:ascii="Arial" w:hAnsi="Arial" w:cs="Arial"/>
          <w:sz w:val="18"/>
        </w:rPr>
        <w:t>2</w:t>
      </w:r>
      <w:r w:rsidRPr="00AA5078">
        <w:rPr>
          <w:rFonts w:ascii="Arial" w:hAnsi="Arial" w:cs="Arial"/>
          <w:sz w:val="18"/>
        </w:rPr>
        <w:t xml:space="preserve"> au plus tard ;</w:t>
      </w:r>
    </w:p>
    <w:p w14:paraId="43C877BC" w14:textId="77777777" w:rsidR="00C70285" w:rsidRPr="00AA5078" w:rsidRDefault="00C70285" w:rsidP="00C70285">
      <w:pPr>
        <w:keepNext/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A5078">
        <w:rPr>
          <w:rFonts w:ascii="Arial" w:hAnsi="Arial" w:cs="Arial"/>
          <w:sz w:val="18"/>
        </w:rPr>
        <w:t>le réservoir ≤ 10.000 litres est mis hors service pour le 27/08/2023 au plus tard. Une dérogation peut être octroyée lorsque le réservoir est efficacement mis à la terre.</w:t>
      </w:r>
    </w:p>
    <w:p w14:paraId="35C3B909" w14:textId="59F703A8" w:rsidR="00E158C0" w:rsidRDefault="00E158C0" w:rsidP="009D6044">
      <w:pPr>
        <w:keepNext/>
        <w:widowControl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74543253" w14:textId="77777777" w:rsidR="008A5879" w:rsidRDefault="008A5879" w:rsidP="00C70285">
      <w:pPr>
        <w:keepNext/>
        <w:widowControl w:val="0"/>
        <w:spacing w:after="0" w:line="240" w:lineRule="auto"/>
        <w:ind w:left="1440"/>
        <w:jc w:val="both"/>
        <w:rPr>
          <w:rFonts w:ascii="Arial" w:hAnsi="Arial" w:cs="Arial"/>
          <w:sz w:val="18"/>
        </w:rPr>
      </w:pPr>
    </w:p>
    <w:p w14:paraId="45B406DF" w14:textId="77777777" w:rsidR="00E158C0" w:rsidRPr="00AA5078" w:rsidRDefault="00E158C0" w:rsidP="00C70285">
      <w:pPr>
        <w:keepNext/>
        <w:widowControl w:val="0"/>
        <w:spacing w:after="0" w:line="240" w:lineRule="auto"/>
        <w:ind w:left="1440"/>
        <w:jc w:val="both"/>
        <w:rPr>
          <w:rFonts w:ascii="Arial" w:hAnsi="Arial" w:cs="Arial"/>
          <w:sz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4"/>
        <w:gridCol w:w="2694"/>
        <w:gridCol w:w="1274"/>
      </w:tblGrid>
      <w:tr w:rsidR="00C70285" w:rsidRPr="005B7817" w14:paraId="72E03341" w14:textId="77777777" w:rsidTr="00F966C3">
        <w:trPr>
          <w:trHeight w:val="830"/>
        </w:trPr>
        <w:tc>
          <w:tcPr>
            <w:tcW w:w="510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ED627A5" w14:textId="77777777" w:rsidR="00C70285" w:rsidRPr="00AA5078" w:rsidRDefault="00C70285" w:rsidP="00F966C3">
            <w:pPr>
              <w:keepNext/>
              <w:jc w:val="center"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Quel type de réservoir ?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8BB90A0" w14:textId="77777777" w:rsidR="00C70285" w:rsidRPr="00AA5078" w:rsidRDefault="00C70285" w:rsidP="00F966C3">
            <w:pPr>
              <w:keepNext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Échéance du 1er contrôle et fréquence des contrôles périodiques suivants</w:t>
            </w:r>
          </w:p>
        </w:tc>
        <w:tc>
          <w:tcPr>
            <w:tcW w:w="127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EA81FFE" w14:textId="77777777" w:rsidR="00C70285" w:rsidRPr="00AA5078" w:rsidRDefault="00C70285" w:rsidP="00F966C3">
            <w:pPr>
              <w:keepNext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Échéance de la mise en conformité</w:t>
            </w:r>
          </w:p>
        </w:tc>
      </w:tr>
      <w:tr w:rsidR="00C70285" w:rsidRPr="005B7817" w14:paraId="32C5377B" w14:textId="77777777" w:rsidTr="00F966C3">
        <w:trPr>
          <w:trHeight w:val="1361"/>
        </w:trPr>
        <w:tc>
          <w:tcPr>
            <w:tcW w:w="510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E1B389B" w14:textId="77777777" w:rsidR="00C70285" w:rsidRPr="00AA5078" w:rsidRDefault="00C70285" w:rsidP="00F966C3">
            <w:pPr>
              <w:keepNext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 xml:space="preserve">Réservoir enfoui existant &gt; 10.000 litres </w:t>
            </w:r>
            <w:r w:rsidRPr="00AA5078">
              <w:rPr>
                <w:rFonts w:ascii="Arial" w:hAnsi="Arial" w:cs="Arial"/>
                <w:bCs/>
                <w:sz w:val="18"/>
                <w:u w:val="single"/>
              </w:rPr>
              <w:t>équipé</w:t>
            </w:r>
            <w:r w:rsidRPr="00AA5078">
              <w:rPr>
                <w:rFonts w:ascii="Arial" w:hAnsi="Arial" w:cs="Arial"/>
                <w:bCs/>
                <w:sz w:val="18"/>
              </w:rPr>
              <w:t> :</w:t>
            </w:r>
          </w:p>
          <w:p w14:paraId="15574CAE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 système de prévention de débordement</w:t>
            </w:r>
          </w:p>
          <w:p w14:paraId="512575CB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 évent débouchant à l’air libre</w:t>
            </w:r>
          </w:p>
          <w:p w14:paraId="2524CAA2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d’une double paroi avec système de détection des fuites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F7E732F" w14:textId="77777777" w:rsidR="00C70285" w:rsidRPr="00AA5078" w:rsidRDefault="00C70285" w:rsidP="00F966C3">
            <w:pPr>
              <w:keepNext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Premier contrôle périodique avant le 27/08/202</w:t>
            </w:r>
            <w:r>
              <w:rPr>
                <w:rFonts w:ascii="Arial" w:hAnsi="Arial" w:cs="Arial"/>
                <w:bCs/>
                <w:sz w:val="18"/>
              </w:rPr>
              <w:t>1</w:t>
            </w:r>
            <w:r w:rsidRPr="00AA5078">
              <w:rPr>
                <w:rFonts w:ascii="Arial" w:hAnsi="Arial" w:cs="Arial"/>
                <w:bCs/>
                <w:sz w:val="18"/>
              </w:rPr>
              <w:t xml:space="preserve"> puis tous les 3 ans</w:t>
            </w:r>
          </w:p>
        </w:tc>
        <w:tc>
          <w:tcPr>
            <w:tcW w:w="127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1158CBF" w14:textId="77777777" w:rsidR="00C70285" w:rsidRPr="00AA5078" w:rsidRDefault="00C70285" w:rsidP="00F966C3">
            <w:pPr>
              <w:keepNext/>
              <w:jc w:val="center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sz w:val="18"/>
              </w:rPr>
              <w:t>/</w:t>
            </w:r>
          </w:p>
        </w:tc>
      </w:tr>
      <w:tr w:rsidR="00C70285" w:rsidRPr="005B7817" w14:paraId="4F1E9925" w14:textId="77777777" w:rsidTr="00F966C3">
        <w:trPr>
          <w:trHeight w:val="1361"/>
        </w:trPr>
        <w:tc>
          <w:tcPr>
            <w:tcW w:w="510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2EE3716" w14:textId="77777777" w:rsidR="00C70285" w:rsidRPr="00AA5078" w:rsidRDefault="00C70285" w:rsidP="00F966C3">
            <w:pPr>
              <w:keepNext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 xml:space="preserve">Réservoir enfoui existant ≤ 10.000 litres </w:t>
            </w:r>
            <w:r w:rsidRPr="00AA5078">
              <w:rPr>
                <w:rFonts w:ascii="Arial" w:hAnsi="Arial" w:cs="Arial"/>
                <w:bCs/>
                <w:sz w:val="18"/>
                <w:u w:val="single"/>
              </w:rPr>
              <w:t>équipé</w:t>
            </w:r>
            <w:r w:rsidRPr="00AA5078">
              <w:rPr>
                <w:rFonts w:ascii="Arial" w:hAnsi="Arial" w:cs="Arial"/>
                <w:bCs/>
                <w:sz w:val="18"/>
              </w:rPr>
              <w:t> :</w:t>
            </w:r>
          </w:p>
          <w:p w14:paraId="17C41E53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 système de prévention de débordement</w:t>
            </w:r>
          </w:p>
          <w:p w14:paraId="59CC1158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 évent débouchant à l’air libre</w:t>
            </w:r>
          </w:p>
          <w:p w14:paraId="04C249D8" w14:textId="77777777" w:rsidR="00C70285" w:rsidRPr="00AA5078" w:rsidRDefault="00C70285" w:rsidP="00C70285">
            <w:pPr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d’une double paroi avec système de détection des fuites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C979406" w14:textId="77777777" w:rsidR="00C70285" w:rsidRPr="00AA5078" w:rsidRDefault="00C70285" w:rsidP="00F966C3">
            <w:pPr>
              <w:keepNext/>
              <w:rPr>
                <w:rFonts w:ascii="Arial" w:hAnsi="Arial" w:cs="Arial"/>
                <w:bCs/>
                <w:sz w:val="18"/>
              </w:rPr>
            </w:pPr>
            <w:r w:rsidRPr="00AA5078">
              <w:rPr>
                <w:rFonts w:ascii="Arial" w:hAnsi="Arial" w:cs="Arial"/>
                <w:bCs/>
                <w:sz w:val="18"/>
              </w:rPr>
              <w:t>Premier contrôle périodique avant le 27/08/2022 puis tous les 3 ans</w:t>
            </w:r>
          </w:p>
        </w:tc>
        <w:tc>
          <w:tcPr>
            <w:tcW w:w="1274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E1678A1" w14:textId="77777777" w:rsidR="00C70285" w:rsidRPr="00AA5078" w:rsidRDefault="00C70285" w:rsidP="00F966C3">
            <w:pPr>
              <w:keepNext/>
              <w:jc w:val="center"/>
              <w:rPr>
                <w:rFonts w:ascii="Arial" w:hAnsi="Arial" w:cs="Arial"/>
                <w:sz w:val="18"/>
              </w:rPr>
            </w:pPr>
            <w:r w:rsidRPr="00AA5078">
              <w:rPr>
                <w:rFonts w:ascii="Arial" w:hAnsi="Arial" w:cs="Arial"/>
                <w:sz w:val="18"/>
              </w:rPr>
              <w:t>/</w:t>
            </w:r>
          </w:p>
        </w:tc>
      </w:tr>
    </w:tbl>
    <w:p w14:paraId="1590E569" w14:textId="77777777" w:rsidR="00EF4994" w:rsidRDefault="00EF4994" w:rsidP="00C70285"/>
    <w:sectPr w:rsidR="00EF4994" w:rsidSect="009C0F44">
      <w:footerReference w:type="default" r:id="rId7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7E6D" w14:textId="77777777" w:rsidR="00C70285" w:rsidRDefault="00C70285" w:rsidP="00C70285">
      <w:pPr>
        <w:spacing w:after="0" w:line="240" w:lineRule="auto"/>
      </w:pPr>
      <w:r>
        <w:separator/>
      </w:r>
    </w:p>
  </w:endnote>
  <w:endnote w:type="continuationSeparator" w:id="0">
    <w:p w14:paraId="3BF94E93" w14:textId="77777777" w:rsidR="00C70285" w:rsidRDefault="00C70285" w:rsidP="00C7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2CDD" w14:textId="04EF8B26" w:rsidR="009C0F44" w:rsidRPr="007C599D" w:rsidRDefault="009C0F44" w:rsidP="009C0F44">
    <w:pPr>
      <w:pStyle w:val="Pieddepage"/>
      <w:jc w:val="center"/>
      <w:rPr>
        <w:rFonts w:ascii="Arial" w:hAnsi="Arial" w:cs="Arial"/>
        <w:sz w:val="20"/>
        <w:szCs w:val="20"/>
      </w:rPr>
    </w:pPr>
    <w:r w:rsidRPr="007C599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5C99131" wp14:editId="746D672C">
          <wp:simplePos x="0" y="0"/>
          <wp:positionH relativeFrom="column">
            <wp:posOffset>8206</wp:posOffset>
          </wp:positionH>
          <wp:positionV relativeFrom="paragraph">
            <wp:posOffset>-153035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99D">
      <w:rPr>
        <w:rFonts w:ascii="Arial" w:hAnsi="Arial" w:cs="Arial"/>
        <w:sz w:val="20"/>
        <w:szCs w:val="20"/>
      </w:rPr>
      <w:ptab w:relativeTo="margin" w:alignment="center" w:leader="none"/>
    </w:r>
    <w:r w:rsidRPr="007C599D">
      <w:rPr>
        <w:rFonts w:ascii="Arial" w:hAnsi="Arial" w:cs="Arial"/>
        <w:sz w:val="20"/>
        <w:szCs w:val="20"/>
      </w:rPr>
      <w:t>Version du 22/07/2022</w:t>
    </w:r>
    <w:r w:rsidRPr="007C599D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1525365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C59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599D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7C599D">
      <w:rPr>
        <w:rFonts w:ascii="Arial" w:hAnsi="Arial" w:cs="Arial"/>
        <w:sz w:val="20"/>
        <w:szCs w:val="20"/>
      </w:rPr>
      <w:t xml:space="preserve"> </w:t>
    </w:r>
  </w:p>
  <w:p w14:paraId="7BD21F09" w14:textId="77777777" w:rsidR="009C0F44" w:rsidRDefault="009C0F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A03E" w14:textId="77777777" w:rsidR="00C70285" w:rsidRDefault="00C70285" w:rsidP="00C70285">
      <w:pPr>
        <w:spacing w:after="0" w:line="240" w:lineRule="auto"/>
      </w:pPr>
      <w:r>
        <w:separator/>
      </w:r>
    </w:p>
  </w:footnote>
  <w:footnote w:type="continuationSeparator" w:id="0">
    <w:p w14:paraId="368DFB56" w14:textId="77777777" w:rsidR="00C70285" w:rsidRDefault="00C70285" w:rsidP="00C70285">
      <w:pPr>
        <w:spacing w:after="0" w:line="240" w:lineRule="auto"/>
      </w:pPr>
      <w:r>
        <w:continuationSeparator/>
      </w:r>
    </w:p>
  </w:footnote>
  <w:footnote w:id="1">
    <w:p w14:paraId="008F6CCC" w14:textId="77777777" w:rsidR="00C70285" w:rsidRPr="006B5FC7" w:rsidRDefault="00C70285" w:rsidP="00C70285">
      <w:pPr>
        <w:pStyle w:val="Notedebasdepage"/>
        <w:jc w:val="both"/>
      </w:pPr>
      <w:r>
        <w:rPr>
          <w:rStyle w:val="Appelnotedebasdep"/>
        </w:rPr>
        <w:footnoteRef/>
      </w:r>
      <w:r w:rsidRPr="00C70285">
        <w:t xml:space="preserve"> En face de chaque point contrôlé, l’expert indique OK si l’installation est conforme. </w:t>
      </w:r>
      <w:r>
        <w:t>Sinon, il indique le problème qui se pose. Ses remarques peuvent éventuellement se poursuivre sur une note séparée. Dans ce cas, il l’indique. Cette note doit être agrafée au présent document.</w:t>
      </w:r>
    </w:p>
  </w:footnote>
  <w:footnote w:id="2">
    <w:p w14:paraId="194D8F3A" w14:textId="77777777" w:rsidR="00C70285" w:rsidRPr="00622E1A" w:rsidRDefault="00C70285" w:rsidP="00C70285">
      <w:pPr>
        <w:pStyle w:val="Notedebasdepage"/>
        <w:jc w:val="both"/>
      </w:pPr>
      <w:r w:rsidRPr="00622E1A">
        <w:rPr>
          <w:rStyle w:val="Appelnotedebasdep"/>
        </w:rPr>
        <w:footnoteRef/>
      </w:r>
      <w:r w:rsidRPr="00622E1A">
        <w:t xml:space="preserve"> Pour les réservoirs métalliques, lors du premier contrôle périodique. Voir l’annexe 2 de l’arrêté. </w:t>
      </w:r>
    </w:p>
  </w:footnote>
  <w:footnote w:id="3">
    <w:p w14:paraId="4F7C51A1" w14:textId="77777777" w:rsidR="00C70285" w:rsidRPr="00622E1A" w:rsidRDefault="00C70285" w:rsidP="00C70285">
      <w:pPr>
        <w:pStyle w:val="Notedebasdepage"/>
        <w:jc w:val="both"/>
      </w:pPr>
      <w:r w:rsidRPr="00622E1A">
        <w:rPr>
          <w:rStyle w:val="Appelnotedebasdep"/>
        </w:rPr>
        <w:footnoteRef/>
      </w:r>
      <w:r w:rsidRPr="00622E1A">
        <w:t xml:space="preserve"> Pour les réservoirs métall</w:t>
      </w:r>
      <w:r>
        <w:t>iques, si la présence</w:t>
      </w:r>
      <w:r w:rsidRPr="00622E1A">
        <w:t xml:space="preserve"> d’eau </w:t>
      </w:r>
      <w:r>
        <w:t xml:space="preserve">ou de sédiments </w:t>
      </w:r>
      <w:r w:rsidRPr="00622E1A">
        <w:t>a été détectée.</w:t>
      </w:r>
    </w:p>
  </w:footnote>
  <w:footnote w:id="4">
    <w:p w14:paraId="6F545D3F" w14:textId="77777777" w:rsidR="00C70285" w:rsidRDefault="00C70285" w:rsidP="00C70285">
      <w:pPr>
        <w:pStyle w:val="Notedebasdepage"/>
        <w:jc w:val="both"/>
      </w:pPr>
      <w:r w:rsidRPr="00622E1A">
        <w:rPr>
          <w:rStyle w:val="Appelnotedebasdep"/>
        </w:rPr>
        <w:footnoteRef/>
      </w:r>
      <w:r w:rsidRPr="00622E1A">
        <w:t xml:space="preserve"> Pour les réservoirs à simple paroi uniquement. Voir l’annexe</w:t>
      </w:r>
      <w:r>
        <w:t xml:space="preserve"> 1 de l’arrêté.</w:t>
      </w:r>
    </w:p>
  </w:footnote>
  <w:footnote w:id="5">
    <w:p w14:paraId="128A349F" w14:textId="77777777" w:rsidR="00C70285" w:rsidRDefault="00C70285" w:rsidP="00C7028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les réservoirs dotés d’une protection cathodique.</w:t>
      </w:r>
    </w:p>
  </w:footnote>
  <w:footnote w:id="6">
    <w:p w14:paraId="5B117F9E" w14:textId="77777777" w:rsidR="00C70285" w:rsidRPr="002B065F" w:rsidRDefault="00C70285" w:rsidP="00C70285">
      <w:pPr>
        <w:pStyle w:val="Notedebasdepage"/>
        <w:jc w:val="both"/>
      </w:pPr>
      <w:r w:rsidRPr="00A93B49">
        <w:rPr>
          <w:rStyle w:val="Appelnotedebasdep"/>
        </w:rPr>
        <w:footnoteRef/>
      </w:r>
      <w:r w:rsidRPr="00A93B49">
        <w:t xml:space="preserve"> Pour les réservoirs métalliques non dotés d’une protection cathodique et pour lesquels l’autorité compétente a accordé une dérogation conformément au § 4 de l’article 11.</w:t>
      </w:r>
    </w:p>
  </w:footnote>
  <w:footnote w:id="7">
    <w:p w14:paraId="4959B1A8" w14:textId="77777777" w:rsidR="00C70285" w:rsidRPr="005B7817" w:rsidRDefault="00C70285" w:rsidP="00C70285">
      <w:pPr>
        <w:pStyle w:val="Notedebasdepage"/>
      </w:pPr>
      <w:r w:rsidRPr="00AA5078">
        <w:rPr>
          <w:rStyle w:val="Appelnotedebasdep"/>
          <w:sz w:val="18"/>
        </w:rPr>
        <w:footnoteRef/>
      </w:r>
      <w:r w:rsidRPr="00AA5078">
        <w:rPr>
          <w:sz w:val="18"/>
        </w:rPr>
        <w:t xml:space="preserve"> Ne s’appliquent qu’aux réservoirs mis en service avant le 27/08/2018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9CE"/>
    <w:multiLevelType w:val="hybridMultilevel"/>
    <w:tmpl w:val="687AA876"/>
    <w:lvl w:ilvl="0" w:tplc="53869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28047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F3212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BD82B2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B6C52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617E9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2FAC3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6A4C5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FE5A6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" w15:restartNumberingAfterBreak="0">
    <w:nsid w:val="10D57684"/>
    <w:multiLevelType w:val="hybridMultilevel"/>
    <w:tmpl w:val="126E8BBA"/>
    <w:lvl w:ilvl="0" w:tplc="CA22F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3C8E9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A2A2B5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151406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37CD5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EE84F4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144F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18C1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73283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" w15:restartNumberingAfterBreak="0">
    <w:nsid w:val="2F4A6F9B"/>
    <w:multiLevelType w:val="hybridMultilevel"/>
    <w:tmpl w:val="0AFA6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600"/>
    <w:multiLevelType w:val="hybridMultilevel"/>
    <w:tmpl w:val="F9468C04"/>
    <w:lvl w:ilvl="0" w:tplc="1D6C4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DABC1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F1EC8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F3E8B1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9D0A3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8BAFA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847872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7D6AC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57CA5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4" w15:restartNumberingAfterBreak="0">
    <w:nsid w:val="5254181A"/>
    <w:multiLevelType w:val="hybridMultilevel"/>
    <w:tmpl w:val="A71C565E"/>
    <w:lvl w:ilvl="0" w:tplc="E13C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39BC7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4AFAA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CF68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5508A2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1752FD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CC0C7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1382A3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31B65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85"/>
    <w:rsid w:val="002B77D6"/>
    <w:rsid w:val="002E4234"/>
    <w:rsid w:val="003E10B2"/>
    <w:rsid w:val="008A5879"/>
    <w:rsid w:val="009C0F44"/>
    <w:rsid w:val="009D6044"/>
    <w:rsid w:val="00C70285"/>
    <w:rsid w:val="00E158C0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73ADE"/>
  <w15:chartTrackingRefBased/>
  <w15:docId w15:val="{D46E9D0B-5ADD-430E-90C9-31A7F9E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28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C70285"/>
    <w:pPr>
      <w:spacing w:after="0" w:line="240" w:lineRule="auto"/>
    </w:pPr>
    <w:rPr>
      <w:rFonts w:ascii="Arial" w:hAnsi="Arial" w:cs="Arial"/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semiHidden/>
    <w:rsid w:val="00C70285"/>
    <w:rPr>
      <w:rFonts w:ascii="Arial" w:hAnsi="Arial" w:cs="Arial"/>
      <w:sz w:val="20"/>
      <w:szCs w:val="20"/>
      <w:lang w:val="fr-BE"/>
    </w:rPr>
  </w:style>
  <w:style w:type="character" w:styleId="Appelnotedebasdep">
    <w:name w:val="footnote reference"/>
    <w:basedOn w:val="Policepardfaut"/>
    <w:semiHidden/>
    <w:unhideWhenUsed/>
    <w:rsid w:val="00C702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C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F44"/>
  </w:style>
  <w:style w:type="paragraph" w:styleId="Pieddepage">
    <w:name w:val="footer"/>
    <w:basedOn w:val="Normal"/>
    <w:link w:val="PieddepageCar"/>
    <w:uiPriority w:val="99"/>
    <w:unhideWhenUsed/>
    <w:rsid w:val="009C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BE-LB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contrôle périodique d’installations : RESERVOIR ENFOUI</dc:title>
  <dc:subject/>
  <dc:creator>Bruxelles Environnement</dc:creator>
  <cp:keywords/>
  <dc:description/>
  <cp:lastModifiedBy>DUBOIS Pauline</cp:lastModifiedBy>
  <cp:revision>5</cp:revision>
  <cp:lastPrinted>2022-07-22T10:21:00Z</cp:lastPrinted>
  <dcterms:created xsi:type="dcterms:W3CDTF">2022-09-05T13:02:00Z</dcterms:created>
  <dcterms:modified xsi:type="dcterms:W3CDTF">2022-10-07T14:26:00Z</dcterms:modified>
</cp:coreProperties>
</file>