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87F92" w14:textId="77777777" w:rsidR="00627B44" w:rsidRPr="00246578" w:rsidRDefault="00627B44" w:rsidP="00627B44">
      <w:pPr>
        <w:spacing w:line="276" w:lineRule="auto"/>
        <w:jc w:val="center"/>
        <w:rPr>
          <w:rFonts w:eastAsia="Times New Roman" w:cs="Arial"/>
          <w:b/>
          <w:sz w:val="28"/>
          <w:szCs w:val="28"/>
          <w:u w:val="single"/>
          <w:lang w:val="nl-NL"/>
        </w:rPr>
      </w:pPr>
    </w:p>
    <w:p w14:paraId="67403E2C" w14:textId="1CB448FA" w:rsidR="000F7F1D" w:rsidRDefault="0092421D" w:rsidP="00627B44">
      <w:pPr>
        <w:spacing w:line="276" w:lineRule="auto"/>
        <w:jc w:val="center"/>
        <w:rPr>
          <w:rFonts w:eastAsia="Times New Roman" w:cs="Arial"/>
          <w:b/>
          <w:bCs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Demande d’offre dans le cadre de la centrale de marchés </w:t>
      </w:r>
    </w:p>
    <w:p w14:paraId="7BAC51D5" w14:textId="69A3B830" w:rsidR="00627B44" w:rsidRDefault="00AF7336" w:rsidP="00627B44">
      <w:pPr>
        <w:spacing w:line="276" w:lineRule="auto"/>
        <w:jc w:val="center"/>
        <w:rPr>
          <w:rFonts w:eastAsia="Times New Roman" w:cs="Arial"/>
          <w:b/>
          <w:bCs/>
          <w:sz w:val="28"/>
          <w:szCs w:val="28"/>
          <w:u w:val="single"/>
        </w:rPr>
      </w:pPr>
      <w:r>
        <w:rPr>
          <w:b/>
          <w:sz w:val="28"/>
          <w:u w:val="single"/>
        </w:rPr>
        <w:t>OPEN Brussels dans la Région</w:t>
      </w:r>
      <w:r w:rsidR="00016A9C">
        <w:rPr>
          <w:b/>
          <w:sz w:val="28"/>
          <w:u w:val="single"/>
        </w:rPr>
        <w:t xml:space="preserve"> de Bruxelles</w:t>
      </w:r>
      <w:r>
        <w:rPr>
          <w:b/>
          <w:sz w:val="28"/>
          <w:u w:val="single"/>
        </w:rPr>
        <w:t xml:space="preserve"> Capitale</w:t>
      </w:r>
    </w:p>
    <w:p w14:paraId="553D1EF7" w14:textId="77777777" w:rsidR="000F7F1D" w:rsidRPr="00AB661D" w:rsidRDefault="000F7F1D" w:rsidP="00627B44">
      <w:pPr>
        <w:spacing w:line="276" w:lineRule="auto"/>
        <w:jc w:val="center"/>
        <w:rPr>
          <w:rFonts w:eastAsia="Times New Roman" w:cs="Arial"/>
          <w:b/>
          <w:sz w:val="28"/>
          <w:szCs w:val="28"/>
          <w:u w:val="single"/>
        </w:rPr>
      </w:pPr>
    </w:p>
    <w:p w14:paraId="26AFED14" w14:textId="77777777" w:rsidR="005F4649" w:rsidRPr="00246578" w:rsidRDefault="005F4649" w:rsidP="005F4649">
      <w:pPr>
        <w:spacing w:line="276" w:lineRule="auto"/>
        <w:jc w:val="both"/>
        <w:rPr>
          <w:rFonts w:eastAsia="Times New Roman" w:cs="Arial"/>
          <w:b/>
          <w:sz w:val="20"/>
          <w:szCs w:val="20"/>
          <w:u w:val="single"/>
        </w:rPr>
      </w:pPr>
      <w:r>
        <w:rPr>
          <w:b/>
          <w:sz w:val="20"/>
          <w:u w:val="single"/>
        </w:rPr>
        <w:t>Informations générales du cahier des charges</w:t>
      </w:r>
    </w:p>
    <w:p w14:paraId="69ED4932" w14:textId="0245E332" w:rsidR="004674FC" w:rsidRPr="00D14457" w:rsidRDefault="005F4649" w:rsidP="005F4649">
      <w:pPr>
        <w:spacing w:line="276" w:lineRule="auto"/>
        <w:jc w:val="both"/>
        <w:rPr>
          <w:rFonts w:eastAsia="Times New Roman" w:cs="Arial"/>
          <w:sz w:val="20"/>
          <w:szCs w:val="20"/>
        </w:rPr>
      </w:pPr>
      <w:r>
        <w:rPr>
          <w:sz w:val="20"/>
        </w:rPr>
        <w:t xml:space="preserve">La demande s’inscrit dans le cadre d’un accord en cours en vertu du cahier des charges n° OMG-GOP/19/05, ‘RESEAU D’ESPACES OUVERTS DANS </w:t>
      </w:r>
      <w:r w:rsidR="00AF7336">
        <w:rPr>
          <w:sz w:val="20"/>
        </w:rPr>
        <w:t xml:space="preserve">ET AUTOUR DE </w:t>
      </w:r>
      <w:r>
        <w:rPr>
          <w:sz w:val="20"/>
        </w:rPr>
        <w:t xml:space="preserve">BRUXELLES’. La centrale de marchés propose des services spécifiques et est un instrument, en soutien à l’objectif principal du réseau des espaces ouverts, d’opérationnalisation de la vision dans les projets et les instruments des différents partenaires </w:t>
      </w:r>
      <w:r w:rsidR="004144C0">
        <w:rPr>
          <w:sz w:val="20"/>
        </w:rPr>
        <w:t xml:space="preserve">et </w:t>
      </w:r>
      <w:r w:rsidR="00DB3BF3">
        <w:rPr>
          <w:sz w:val="20"/>
        </w:rPr>
        <w:t xml:space="preserve">dans </w:t>
      </w:r>
      <w:r w:rsidR="004144C0">
        <w:rPr>
          <w:sz w:val="20"/>
        </w:rPr>
        <w:t>le partage des connaissances des différents entités régionales et les communes bruxelloises, et ce</w:t>
      </w:r>
      <w:r>
        <w:rPr>
          <w:sz w:val="20"/>
        </w:rPr>
        <w:t xml:space="preserve"> en collaboration avec des administrations locales, des utilisateurs, des investisseurs et des propriétaires de zones d’espace ouvert. </w:t>
      </w:r>
    </w:p>
    <w:p w14:paraId="1D8CEFBA" w14:textId="4E29A1E5" w:rsidR="00C13707" w:rsidRPr="00C13707" w:rsidRDefault="00C13707" w:rsidP="005F4649">
      <w:pPr>
        <w:spacing w:line="276" w:lineRule="auto"/>
        <w:jc w:val="both"/>
        <w:rPr>
          <w:rFonts w:eastAsia="Times New Roman" w:cs="Arial"/>
          <w:sz w:val="20"/>
          <w:szCs w:val="20"/>
        </w:rPr>
      </w:pPr>
      <w:r>
        <w:rPr>
          <w:sz w:val="20"/>
        </w:rPr>
        <w:t xml:space="preserve">Les marchés subséquents sont associés à un accord-cadre sur 4 ans dans le cadre de l’étude ‘RESEAU D’ESPACES OUVERTS DANS </w:t>
      </w:r>
      <w:r w:rsidR="00CE4818">
        <w:rPr>
          <w:sz w:val="20"/>
        </w:rPr>
        <w:t xml:space="preserve">ET AUTOUR DE </w:t>
      </w:r>
      <w:r>
        <w:rPr>
          <w:sz w:val="20"/>
        </w:rPr>
        <w:t>BRUXELLES’ (cahier des charges OMG-GOP/19/05) et sont souscrits directement entre l'adjudicateur et l’adjudicataire, par le biais de la centrale de marchés.</w:t>
      </w:r>
    </w:p>
    <w:p w14:paraId="141F7957" w14:textId="77777777" w:rsidR="00C13707" w:rsidRPr="005562F5" w:rsidRDefault="00C13707" w:rsidP="005F4649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43"/>
        <w:gridCol w:w="6168"/>
      </w:tblGrid>
      <w:tr w:rsidR="005F4649" w14:paraId="5C93FBCB" w14:textId="77777777" w:rsidTr="0054466A">
        <w:tc>
          <w:tcPr>
            <w:tcW w:w="3794" w:type="dxa"/>
          </w:tcPr>
          <w:p w14:paraId="6798FF57" w14:textId="16BFC0A3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Objet</w:t>
            </w:r>
          </w:p>
        </w:tc>
        <w:tc>
          <w:tcPr>
            <w:tcW w:w="6267" w:type="dxa"/>
          </w:tcPr>
          <w:p w14:paraId="7388A7A3" w14:textId="2E34B8E5" w:rsidR="005F4649" w:rsidRDefault="0054466A" w:rsidP="004E6877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</w:rPr>
              <w:t xml:space="preserve">‘RESEAU D'ESPACES OUVERTS DANS </w:t>
            </w:r>
            <w:r w:rsidR="004E6877">
              <w:rPr>
                <w:sz w:val="20"/>
              </w:rPr>
              <w:t xml:space="preserve">ET AUTOUR DE </w:t>
            </w:r>
            <w:r>
              <w:rPr>
                <w:sz w:val="20"/>
              </w:rPr>
              <w:t>BRUXELLES’</w:t>
            </w:r>
          </w:p>
        </w:tc>
      </w:tr>
      <w:tr w:rsidR="005F4649" w14:paraId="7EBD0A1F" w14:textId="77777777" w:rsidTr="0054466A">
        <w:tc>
          <w:tcPr>
            <w:tcW w:w="3794" w:type="dxa"/>
          </w:tcPr>
          <w:p w14:paraId="342F8405" w14:textId="23AA17CA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Numéro du CSC</w:t>
            </w:r>
          </w:p>
        </w:tc>
        <w:tc>
          <w:tcPr>
            <w:tcW w:w="6267" w:type="dxa"/>
          </w:tcPr>
          <w:p w14:paraId="1DE89586" w14:textId="424FBBA7" w:rsidR="005F4649" w:rsidRDefault="0054466A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</w:rPr>
              <w:t>cahier des charges n° OMG-GOP/19/05</w:t>
            </w:r>
          </w:p>
        </w:tc>
      </w:tr>
      <w:tr w:rsidR="005F4649" w:rsidRPr="004E6877" w14:paraId="1D2CA258" w14:textId="77777777" w:rsidTr="0054466A">
        <w:tc>
          <w:tcPr>
            <w:tcW w:w="3794" w:type="dxa"/>
          </w:tcPr>
          <w:p w14:paraId="353A3C4D" w14:textId="596FAB94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Groupe de clients</w:t>
            </w:r>
          </w:p>
        </w:tc>
        <w:tc>
          <w:tcPr>
            <w:tcW w:w="6267" w:type="dxa"/>
          </w:tcPr>
          <w:p w14:paraId="1C5D81AD" w14:textId="42C5D92E" w:rsidR="00677D55" w:rsidRDefault="0054466A" w:rsidP="00677D55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 xml:space="preserve">entités de la Région </w:t>
            </w:r>
            <w:r w:rsidR="004E6877">
              <w:rPr>
                <w:sz w:val="20"/>
              </w:rPr>
              <w:t>de Bruxelles Capitale</w:t>
            </w:r>
            <w:r w:rsidR="00DB3BF3">
              <w:rPr>
                <w:sz w:val="20"/>
              </w:rPr>
              <w:t xml:space="preserve"> et</w:t>
            </w:r>
          </w:p>
          <w:p w14:paraId="16282553" w14:textId="2385100F" w:rsidR="005F4649" w:rsidRPr="004E6877" w:rsidRDefault="0054466A" w:rsidP="00677D55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 w:rsidRPr="004E6877">
              <w:rPr>
                <w:sz w:val="20"/>
              </w:rPr>
              <w:t xml:space="preserve">les </w:t>
            </w:r>
            <w:r w:rsidR="004E6877" w:rsidRPr="004E6877">
              <w:rPr>
                <w:sz w:val="20"/>
              </w:rPr>
              <w:t xml:space="preserve">19 </w:t>
            </w:r>
            <w:r w:rsidRPr="004E6877">
              <w:rPr>
                <w:sz w:val="20"/>
              </w:rPr>
              <w:t xml:space="preserve">communes de </w:t>
            </w:r>
            <w:r w:rsidR="004E6877">
              <w:rPr>
                <w:sz w:val="20"/>
              </w:rPr>
              <w:t>la Région de Bruxelles Capitale.</w:t>
            </w:r>
          </w:p>
        </w:tc>
      </w:tr>
      <w:tr w:rsidR="005F4649" w14:paraId="246A3FDA" w14:textId="77777777" w:rsidTr="0054466A">
        <w:tc>
          <w:tcPr>
            <w:tcW w:w="3794" w:type="dxa"/>
          </w:tcPr>
          <w:p w14:paraId="545CBE7E" w14:textId="7596EA4E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Mode de passation</w:t>
            </w:r>
          </w:p>
        </w:tc>
        <w:tc>
          <w:tcPr>
            <w:tcW w:w="6267" w:type="dxa"/>
          </w:tcPr>
          <w:p w14:paraId="0504CE47" w14:textId="181ECD00" w:rsidR="005F4649" w:rsidRPr="00677D55" w:rsidRDefault="00677D55" w:rsidP="005F4649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Accord-cadre dans le cadre d'une procédure ouverte</w:t>
            </w:r>
          </w:p>
        </w:tc>
      </w:tr>
      <w:tr w:rsidR="005F4649" w14:paraId="3D6AB83C" w14:textId="77777777" w:rsidTr="0054466A">
        <w:tc>
          <w:tcPr>
            <w:tcW w:w="3794" w:type="dxa"/>
          </w:tcPr>
          <w:p w14:paraId="1B2061AB" w14:textId="287CBA8E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Principe d’achat</w:t>
            </w:r>
          </w:p>
        </w:tc>
        <w:tc>
          <w:tcPr>
            <w:tcW w:w="6267" w:type="dxa"/>
          </w:tcPr>
          <w:p w14:paraId="444F9DEF" w14:textId="32360FE9" w:rsidR="005F4649" w:rsidRPr="00677D55" w:rsidRDefault="00677D55" w:rsidP="005F4649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1 adjudicataire : BUUR, Part of Sweco - Antea</w:t>
            </w:r>
          </w:p>
        </w:tc>
      </w:tr>
      <w:tr w:rsidR="005F4649" w14:paraId="3BECAA4A" w14:textId="77777777" w:rsidTr="0054466A">
        <w:tc>
          <w:tcPr>
            <w:tcW w:w="3794" w:type="dxa"/>
          </w:tcPr>
          <w:p w14:paraId="422AAA8A" w14:textId="0A700240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postes</w:t>
            </w:r>
          </w:p>
        </w:tc>
        <w:tc>
          <w:tcPr>
            <w:tcW w:w="6267" w:type="dxa"/>
          </w:tcPr>
          <w:p w14:paraId="79DD5AAD" w14:textId="2E01D9C4" w:rsidR="005F4649" w:rsidRPr="00677D55" w:rsidRDefault="00C5656B" w:rsidP="005F4649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Voir le cahier des charges</w:t>
            </w:r>
          </w:p>
        </w:tc>
      </w:tr>
      <w:tr w:rsidR="005F4649" w14:paraId="6EC2E729" w14:textId="77777777" w:rsidTr="00DB3BF3">
        <w:tc>
          <w:tcPr>
            <w:tcW w:w="3794" w:type="dxa"/>
            <w:shd w:val="clear" w:color="auto" w:fill="auto"/>
          </w:tcPr>
          <w:p w14:paraId="014DB413" w14:textId="7BD9F537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Début du contrat</w:t>
            </w:r>
          </w:p>
        </w:tc>
        <w:tc>
          <w:tcPr>
            <w:tcW w:w="6267" w:type="dxa"/>
            <w:shd w:val="clear" w:color="auto" w:fill="auto"/>
          </w:tcPr>
          <w:p w14:paraId="1D01F28E" w14:textId="4BB78F57" w:rsidR="005F4649" w:rsidRPr="006526E3" w:rsidRDefault="00D5071A" w:rsidP="00DB3BF3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DB3BF3">
              <w:rPr>
                <w:sz w:val="20"/>
              </w:rPr>
              <w:t xml:space="preserve">Le </w:t>
            </w:r>
            <w:r w:rsidR="00DB3BF3" w:rsidRPr="00DB3BF3">
              <w:rPr>
                <w:sz w:val="20"/>
              </w:rPr>
              <w:t>1er mai</w:t>
            </w:r>
            <w:r w:rsidRPr="00DB3BF3">
              <w:rPr>
                <w:sz w:val="20"/>
              </w:rPr>
              <w:t xml:space="preserve"> 2022</w:t>
            </w:r>
          </w:p>
        </w:tc>
      </w:tr>
      <w:tr w:rsidR="005F4649" w14:paraId="45EEF276" w14:textId="77777777" w:rsidTr="00AE1D74">
        <w:tc>
          <w:tcPr>
            <w:tcW w:w="3794" w:type="dxa"/>
            <w:shd w:val="clear" w:color="auto" w:fill="auto"/>
          </w:tcPr>
          <w:p w14:paraId="27F79F05" w14:textId="7CFF0B3C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Durée du contrat</w:t>
            </w:r>
          </w:p>
        </w:tc>
        <w:tc>
          <w:tcPr>
            <w:tcW w:w="6267" w:type="dxa"/>
            <w:shd w:val="clear" w:color="auto" w:fill="auto"/>
          </w:tcPr>
          <w:p w14:paraId="619C5828" w14:textId="0A877B9B" w:rsidR="005F4649" w:rsidRPr="006526E3" w:rsidRDefault="00677D55" w:rsidP="005F4649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4 ans</w:t>
            </w:r>
          </w:p>
        </w:tc>
      </w:tr>
      <w:tr w:rsidR="005F4649" w14:paraId="1C6AF9E3" w14:textId="77777777" w:rsidTr="00DB3BF3">
        <w:tc>
          <w:tcPr>
            <w:tcW w:w="3794" w:type="dxa"/>
            <w:shd w:val="clear" w:color="auto" w:fill="auto"/>
          </w:tcPr>
          <w:p w14:paraId="7721A270" w14:textId="0826EDC3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Fin du contrat</w:t>
            </w:r>
          </w:p>
        </w:tc>
        <w:tc>
          <w:tcPr>
            <w:tcW w:w="6267" w:type="dxa"/>
            <w:shd w:val="clear" w:color="auto" w:fill="auto"/>
          </w:tcPr>
          <w:p w14:paraId="6061A104" w14:textId="125115A1" w:rsidR="005F4649" w:rsidRPr="006526E3" w:rsidRDefault="00C5656B" w:rsidP="00DB3BF3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DB3BF3">
              <w:rPr>
                <w:sz w:val="20"/>
              </w:rPr>
              <w:t xml:space="preserve">Le </w:t>
            </w:r>
            <w:r w:rsidR="00DB3BF3" w:rsidRPr="00DB3BF3">
              <w:rPr>
                <w:sz w:val="20"/>
              </w:rPr>
              <w:t>1er mai</w:t>
            </w:r>
            <w:r w:rsidRPr="00DB3BF3">
              <w:rPr>
                <w:sz w:val="20"/>
              </w:rPr>
              <w:t xml:space="preserve"> 2026</w:t>
            </w:r>
          </w:p>
        </w:tc>
      </w:tr>
      <w:tr w:rsidR="005F4649" w14:paraId="794558DB" w14:textId="77777777" w:rsidTr="0054466A">
        <w:tc>
          <w:tcPr>
            <w:tcW w:w="3794" w:type="dxa"/>
          </w:tcPr>
          <w:p w14:paraId="6C1FF0E2" w14:textId="69BBBD5E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Révision de prix</w:t>
            </w:r>
          </w:p>
        </w:tc>
        <w:tc>
          <w:tcPr>
            <w:tcW w:w="6267" w:type="dxa"/>
          </w:tcPr>
          <w:p w14:paraId="06625DA0" w14:textId="12209176" w:rsidR="00677D55" w:rsidRPr="001D6BEE" w:rsidRDefault="00677D55" w:rsidP="00677D55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Après la durée initiale d’un an, les prix unitaires indiqués sont adaptés selon la formule suivante : P = P (0,8 indice/indice-1 + 0,2)</w:t>
            </w:r>
          </w:p>
          <w:p w14:paraId="70110C35" w14:textId="77777777" w:rsidR="00677D55" w:rsidRPr="00677D55" w:rsidRDefault="00677D55" w:rsidP="00677D55">
            <w:pPr>
              <w:spacing w:line="276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Indice-santé = du mois précédant le mois au cours duquel le marché initial a pris fin</w:t>
            </w:r>
          </w:p>
          <w:p w14:paraId="20444EDC" w14:textId="77777777" w:rsidR="005F4649" w:rsidRDefault="00677D55" w:rsidP="00677D55">
            <w:pPr>
              <w:spacing w:line="276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Indice-santé -1 = du mois au cours duquel le marché a été conclu</w:t>
            </w:r>
          </w:p>
          <w:p w14:paraId="20690DDB" w14:textId="3AFFB00E" w:rsidR="006526E3" w:rsidRPr="003841E9" w:rsidRDefault="003841E9" w:rsidP="00677D55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 xml:space="preserve">Cette formule s’applique à chaque marché subséquent puisque la première année est déjà révolue. </w:t>
            </w:r>
          </w:p>
        </w:tc>
      </w:tr>
      <w:tr w:rsidR="005F4649" w14:paraId="30FB706A" w14:textId="77777777" w:rsidTr="0054466A">
        <w:tc>
          <w:tcPr>
            <w:tcW w:w="3794" w:type="dxa"/>
          </w:tcPr>
          <w:p w14:paraId="6961B6FC" w14:textId="1831A00B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Peines et amendes</w:t>
            </w:r>
          </w:p>
        </w:tc>
        <w:tc>
          <w:tcPr>
            <w:tcW w:w="6267" w:type="dxa"/>
          </w:tcPr>
          <w:p w14:paraId="64B5E412" w14:textId="0FB14396" w:rsidR="005F4649" w:rsidRPr="00677D55" w:rsidRDefault="00853B34" w:rsidP="005F4649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Selon les dispositions du cahier des charges, sauf indication contraire dans la demande d’offre</w:t>
            </w:r>
          </w:p>
        </w:tc>
        <w:bookmarkStart w:id="0" w:name="_GoBack"/>
        <w:bookmarkEnd w:id="0"/>
      </w:tr>
      <w:tr w:rsidR="00AE6DE7" w14:paraId="3257BBF5" w14:textId="77777777" w:rsidTr="0054466A">
        <w:tc>
          <w:tcPr>
            <w:tcW w:w="3794" w:type="dxa"/>
          </w:tcPr>
          <w:p w14:paraId="4FD210CF" w14:textId="3FE45D1C" w:rsidR="00AE6DE7" w:rsidRPr="005F4649" w:rsidRDefault="00AE6DE7" w:rsidP="00AE6DE7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Caution</w:t>
            </w:r>
          </w:p>
        </w:tc>
        <w:tc>
          <w:tcPr>
            <w:tcW w:w="6267" w:type="dxa"/>
          </w:tcPr>
          <w:p w14:paraId="48DBC66A" w14:textId="5AC368AF" w:rsidR="00AE6DE7" w:rsidRPr="00677D55" w:rsidRDefault="00853B34" w:rsidP="00AE6DE7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Selon les dispositions du cahier des charges – nécessaire pour tous les marchés partiels d'une valeur &gt;50.000 euros HTVA</w:t>
            </w:r>
          </w:p>
        </w:tc>
      </w:tr>
      <w:tr w:rsidR="00AE6DE7" w14:paraId="4AB2E8BE" w14:textId="77777777" w:rsidTr="0054466A">
        <w:tc>
          <w:tcPr>
            <w:tcW w:w="3794" w:type="dxa"/>
          </w:tcPr>
          <w:p w14:paraId="462AF05D" w14:textId="34F1E26F" w:rsidR="00AE6DE7" w:rsidRPr="005F4649" w:rsidRDefault="00AE6DE7" w:rsidP="00AE6DE7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Législation applicable</w:t>
            </w:r>
          </w:p>
        </w:tc>
        <w:tc>
          <w:tcPr>
            <w:tcW w:w="6267" w:type="dxa"/>
          </w:tcPr>
          <w:p w14:paraId="7854078F" w14:textId="5C02CBE1" w:rsidR="00AE6DE7" w:rsidRPr="00AE6DE7" w:rsidRDefault="00AE6DE7" w:rsidP="00150B4B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Règlement centrale de marchés </w:t>
            </w:r>
            <w:r w:rsidR="00150B4B">
              <w:rPr>
                <w:b/>
                <w:sz w:val="20"/>
              </w:rPr>
              <w:t xml:space="preserve">OPEN Brussels </w:t>
            </w:r>
          </w:p>
        </w:tc>
      </w:tr>
    </w:tbl>
    <w:p w14:paraId="13DDFD70" w14:textId="77777777" w:rsidR="00E67ABE" w:rsidRPr="005562F5" w:rsidRDefault="00E67ABE" w:rsidP="00AE1D74">
      <w:pPr>
        <w:spacing w:line="276" w:lineRule="auto"/>
        <w:jc w:val="right"/>
        <w:rPr>
          <w:rFonts w:eastAsia="Times New Roman" w:cs="Arial"/>
          <w:b/>
          <w:bCs/>
          <w:sz w:val="20"/>
          <w:szCs w:val="20"/>
          <w:u w:val="single"/>
        </w:rPr>
      </w:pPr>
    </w:p>
    <w:p w14:paraId="7ED11570" w14:textId="1D60565D" w:rsidR="0054466A" w:rsidRDefault="0054466A" w:rsidP="0054466A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</w:rPr>
      </w:pPr>
      <w:r>
        <w:rPr>
          <w:b/>
          <w:sz w:val="20"/>
          <w:u w:val="single"/>
        </w:rPr>
        <w:t>Informations sur l’adjudicataire</w:t>
      </w:r>
    </w:p>
    <w:p w14:paraId="56AC4C6A" w14:textId="77777777" w:rsidR="0054466A" w:rsidRPr="0054466A" w:rsidRDefault="0054466A" w:rsidP="0054466A">
      <w:pPr>
        <w:spacing w:line="276" w:lineRule="auto"/>
        <w:jc w:val="both"/>
        <w:rPr>
          <w:rFonts w:eastAsia="Times New Roman" w:cs="Arial"/>
          <w:b/>
          <w:sz w:val="20"/>
          <w:szCs w:val="20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33"/>
        <w:gridCol w:w="6178"/>
      </w:tblGrid>
      <w:tr w:rsidR="0054466A" w:rsidRPr="004A5F0A" w14:paraId="737B5F5E" w14:textId="77777777" w:rsidTr="0054466A">
        <w:tc>
          <w:tcPr>
            <w:tcW w:w="3794" w:type="dxa"/>
          </w:tcPr>
          <w:p w14:paraId="3630719C" w14:textId="26FA5258" w:rsidR="0054466A" w:rsidRPr="00286B11" w:rsidRDefault="0054466A" w:rsidP="00AA4D79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Adjudicataire</w:t>
            </w:r>
          </w:p>
        </w:tc>
        <w:tc>
          <w:tcPr>
            <w:tcW w:w="6267" w:type="dxa"/>
          </w:tcPr>
          <w:p w14:paraId="7B833453" w14:textId="72545751" w:rsidR="0054466A" w:rsidRPr="00722AC7" w:rsidRDefault="001D6BEE" w:rsidP="00AA4D79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 xml:space="preserve">BUUR, Part of </w:t>
            </w:r>
            <w:proofErr w:type="spellStart"/>
            <w:r>
              <w:rPr>
                <w:sz w:val="20"/>
              </w:rPr>
              <w:t>Sweco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Antea</w:t>
            </w:r>
            <w:proofErr w:type="spellEnd"/>
            <w:r>
              <w:rPr>
                <w:sz w:val="20"/>
              </w:rPr>
              <w:t xml:space="preserve">, via la centrale de marchés </w:t>
            </w:r>
            <w:r w:rsidR="00150B4B">
              <w:rPr>
                <w:rFonts w:eastAsia="Times New Roman" w:cs="Arial"/>
                <w:sz w:val="20"/>
                <w:szCs w:val="20"/>
                <w:lang w:val="en-US"/>
              </w:rPr>
              <w:t>OPEN Brussels</w:t>
            </w:r>
          </w:p>
        </w:tc>
      </w:tr>
      <w:tr w:rsidR="0054466A" w14:paraId="7DDFBAD5" w14:textId="77777777" w:rsidTr="0054466A">
        <w:tc>
          <w:tcPr>
            <w:tcW w:w="3794" w:type="dxa"/>
          </w:tcPr>
          <w:p w14:paraId="5F0685DE" w14:textId="77777777" w:rsidR="0054466A" w:rsidRPr="005D38E4" w:rsidRDefault="0054466A" w:rsidP="00AA4D79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Personne de contact</w:t>
            </w:r>
          </w:p>
        </w:tc>
        <w:tc>
          <w:tcPr>
            <w:tcW w:w="6267" w:type="dxa"/>
          </w:tcPr>
          <w:p w14:paraId="184A8512" w14:textId="28A6C3CD" w:rsidR="0054466A" w:rsidRPr="00AE6DE7" w:rsidRDefault="00E90918" w:rsidP="00AA4D79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 xml:space="preserve">Jens </w:t>
            </w:r>
            <w:proofErr w:type="spellStart"/>
            <w:r>
              <w:rPr>
                <w:sz w:val="20"/>
              </w:rPr>
              <w:t>Aerts</w:t>
            </w:r>
            <w:proofErr w:type="spellEnd"/>
          </w:p>
        </w:tc>
      </w:tr>
      <w:tr w:rsidR="0092421D" w14:paraId="1780AEE6" w14:textId="77777777" w:rsidTr="0054466A">
        <w:tc>
          <w:tcPr>
            <w:tcW w:w="3794" w:type="dxa"/>
          </w:tcPr>
          <w:p w14:paraId="7D814ECA" w14:textId="620031FA" w:rsidR="0092421D" w:rsidRDefault="0092421D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Adresse mail personne de contact </w:t>
            </w:r>
          </w:p>
        </w:tc>
        <w:tc>
          <w:tcPr>
            <w:tcW w:w="6267" w:type="dxa"/>
          </w:tcPr>
          <w:p w14:paraId="64B89032" w14:textId="20B24F3D" w:rsidR="0092421D" w:rsidRDefault="00E90918" w:rsidP="008C172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 w:rsidRPr="00011D5F">
              <w:rPr>
                <w:rFonts w:eastAsia="Times New Roman" w:cs="Arial"/>
                <w:sz w:val="20"/>
                <w:szCs w:val="20"/>
              </w:rPr>
              <w:t>jens.aerts@swecobelgium.be</w:t>
            </w:r>
          </w:p>
        </w:tc>
      </w:tr>
      <w:tr w:rsidR="00E67ABE" w14:paraId="41002024" w14:textId="77777777" w:rsidTr="0054466A">
        <w:tc>
          <w:tcPr>
            <w:tcW w:w="3794" w:type="dxa"/>
          </w:tcPr>
          <w:p w14:paraId="5BC30D8D" w14:textId="3C7E9FC8" w:rsidR="00E67ABE" w:rsidRPr="00286B11" w:rsidRDefault="00E67AB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Adresse </w:t>
            </w:r>
          </w:p>
        </w:tc>
        <w:tc>
          <w:tcPr>
            <w:tcW w:w="6267" w:type="dxa"/>
          </w:tcPr>
          <w:p w14:paraId="64EBB15D" w14:textId="7603995C" w:rsidR="00E67ABE" w:rsidRDefault="0092421D" w:rsidP="008C172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 xml:space="preserve">Rue Arenberg 13, boîte 1, 1000 Bruxelles </w:t>
            </w:r>
          </w:p>
        </w:tc>
      </w:tr>
      <w:tr w:rsidR="008C172E" w14:paraId="6D0A7ACC" w14:textId="77777777" w:rsidTr="0054466A">
        <w:tc>
          <w:tcPr>
            <w:tcW w:w="3794" w:type="dxa"/>
          </w:tcPr>
          <w:p w14:paraId="194A22B9" w14:textId="77777777" w:rsidR="008C172E" w:rsidRPr="00286B11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Numéro de TVA / numéro d'entreprise</w:t>
            </w:r>
          </w:p>
        </w:tc>
        <w:tc>
          <w:tcPr>
            <w:tcW w:w="6267" w:type="dxa"/>
          </w:tcPr>
          <w:p w14:paraId="4C22C5C9" w14:textId="0C314B2E" w:rsidR="008C172E" w:rsidRPr="008C172E" w:rsidRDefault="008653B9" w:rsidP="008C172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BE 0405 647.664</w:t>
            </w:r>
          </w:p>
        </w:tc>
      </w:tr>
      <w:tr w:rsidR="008C172E" w14:paraId="0C81B404" w14:textId="77777777" w:rsidTr="0054466A">
        <w:tc>
          <w:tcPr>
            <w:tcW w:w="3794" w:type="dxa"/>
          </w:tcPr>
          <w:p w14:paraId="4615C897" w14:textId="77777777" w:rsidR="008C172E" w:rsidRPr="00286B11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Numéro de compte</w:t>
            </w:r>
          </w:p>
        </w:tc>
        <w:tc>
          <w:tcPr>
            <w:tcW w:w="6267" w:type="dxa"/>
          </w:tcPr>
          <w:p w14:paraId="4CBD12A9" w14:textId="7A593264" w:rsidR="008C172E" w:rsidRPr="008C172E" w:rsidRDefault="008653B9" w:rsidP="008C172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BE97 2200 7208 2049</w:t>
            </w:r>
          </w:p>
        </w:tc>
      </w:tr>
      <w:tr w:rsidR="000905DC" w14:paraId="6560A605" w14:textId="77777777" w:rsidTr="0054466A">
        <w:tc>
          <w:tcPr>
            <w:tcW w:w="3794" w:type="dxa"/>
          </w:tcPr>
          <w:p w14:paraId="700B9DD8" w14:textId="31CB6B11" w:rsidR="000905DC" w:rsidRPr="00286B11" w:rsidRDefault="000905DC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Numéro BIC</w:t>
            </w:r>
          </w:p>
        </w:tc>
        <w:tc>
          <w:tcPr>
            <w:tcW w:w="6267" w:type="dxa"/>
          </w:tcPr>
          <w:p w14:paraId="08B3661A" w14:textId="19E6CDD0" w:rsidR="000905DC" w:rsidRDefault="005D38E4" w:rsidP="008C172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GEBABEBB</w:t>
            </w:r>
          </w:p>
        </w:tc>
      </w:tr>
    </w:tbl>
    <w:p w14:paraId="225B24FB" w14:textId="77777777" w:rsidR="009E4724" w:rsidRDefault="009E4724" w:rsidP="005134C7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  <w:lang w:val="nl-NL"/>
        </w:rPr>
      </w:pPr>
    </w:p>
    <w:p w14:paraId="00E8069B" w14:textId="00FD24AE" w:rsidR="00AE6DE7" w:rsidRDefault="00AE6DE7" w:rsidP="005134C7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</w:rPr>
      </w:pPr>
      <w:r>
        <w:rPr>
          <w:b/>
          <w:sz w:val="20"/>
          <w:u w:val="single"/>
        </w:rPr>
        <w:t>Informations sur l’adjudicateur</w:t>
      </w:r>
      <w:r w:rsidR="00AC2E21">
        <w:rPr>
          <w:rStyle w:val="Voetnootmarkering"/>
          <w:rFonts w:eastAsia="Times New Roman" w:cs="Arial"/>
          <w:b/>
          <w:bCs/>
          <w:sz w:val="20"/>
          <w:szCs w:val="20"/>
          <w:u w:val="single"/>
          <w:lang w:val="nl-NL"/>
        </w:rPr>
        <w:footnoteReference w:id="1"/>
      </w:r>
    </w:p>
    <w:p w14:paraId="4F64A1D1" w14:textId="77777777" w:rsidR="003C62A2" w:rsidRDefault="003C62A2" w:rsidP="005134C7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55"/>
        <w:gridCol w:w="6156"/>
      </w:tblGrid>
      <w:tr w:rsidR="00286B11" w14:paraId="560D8EC7" w14:textId="77777777" w:rsidTr="00AE6DE7">
        <w:tc>
          <w:tcPr>
            <w:tcW w:w="3794" w:type="dxa"/>
          </w:tcPr>
          <w:p w14:paraId="7F7D6B57" w14:textId="76E4B977" w:rsidR="00286B11" w:rsidRPr="00286B11" w:rsidRDefault="00286B11" w:rsidP="002B4FD8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Adjudicateur</w:t>
            </w:r>
          </w:p>
        </w:tc>
        <w:tc>
          <w:tcPr>
            <w:tcW w:w="6267" w:type="dxa"/>
          </w:tcPr>
          <w:p w14:paraId="098BDF98" w14:textId="492CC203" w:rsidR="00286B11" w:rsidRPr="008C172E" w:rsidRDefault="00286B11" w:rsidP="002B4FD8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</w:p>
        </w:tc>
      </w:tr>
      <w:tr w:rsidR="008C172E" w14:paraId="70512E4E" w14:textId="77777777" w:rsidTr="00AE6DE7">
        <w:tc>
          <w:tcPr>
            <w:tcW w:w="3794" w:type="dxa"/>
          </w:tcPr>
          <w:p w14:paraId="612B49D9" w14:textId="0E66A57B" w:rsidR="008C172E" w:rsidRPr="00286B11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Personne de contact</w:t>
            </w:r>
          </w:p>
        </w:tc>
        <w:tc>
          <w:tcPr>
            <w:tcW w:w="6267" w:type="dxa"/>
          </w:tcPr>
          <w:p w14:paraId="54BCF6B4" w14:textId="64E954E0" w:rsidR="008C172E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nl-NL"/>
              </w:rPr>
            </w:pPr>
          </w:p>
        </w:tc>
      </w:tr>
      <w:tr w:rsidR="006F2924" w14:paraId="02BDC840" w14:textId="77777777" w:rsidTr="00AE6DE7">
        <w:tc>
          <w:tcPr>
            <w:tcW w:w="3794" w:type="dxa"/>
          </w:tcPr>
          <w:p w14:paraId="0D9DC8EC" w14:textId="5516F744" w:rsidR="006F2924" w:rsidRDefault="006F2924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Adresse mail personne de contact</w:t>
            </w:r>
          </w:p>
        </w:tc>
        <w:tc>
          <w:tcPr>
            <w:tcW w:w="6267" w:type="dxa"/>
          </w:tcPr>
          <w:p w14:paraId="7931B370" w14:textId="77777777" w:rsidR="006F2924" w:rsidRPr="005562F5" w:rsidRDefault="006F2924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67ABE" w14:paraId="1B6909FC" w14:textId="77777777" w:rsidTr="00AE6DE7">
        <w:tc>
          <w:tcPr>
            <w:tcW w:w="3794" w:type="dxa"/>
          </w:tcPr>
          <w:p w14:paraId="68169013" w14:textId="1D6272ED" w:rsidR="00E67ABE" w:rsidRPr="00286B11" w:rsidRDefault="00E67AB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6267" w:type="dxa"/>
          </w:tcPr>
          <w:p w14:paraId="44A224C2" w14:textId="77777777" w:rsidR="00E67ABE" w:rsidRDefault="00E67AB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nl-NL"/>
              </w:rPr>
            </w:pPr>
          </w:p>
        </w:tc>
      </w:tr>
      <w:tr w:rsidR="008C172E" w14:paraId="7D2BA88D" w14:textId="77777777" w:rsidTr="00AE6DE7">
        <w:tc>
          <w:tcPr>
            <w:tcW w:w="3794" w:type="dxa"/>
          </w:tcPr>
          <w:p w14:paraId="3614B73D" w14:textId="43346A06" w:rsidR="008C172E" w:rsidRPr="00286B11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Facturation</w:t>
            </w:r>
          </w:p>
        </w:tc>
        <w:tc>
          <w:tcPr>
            <w:tcW w:w="6267" w:type="dxa"/>
          </w:tcPr>
          <w:p w14:paraId="53C6655E" w14:textId="21AEC39D" w:rsidR="008C172E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nl-NL"/>
              </w:rPr>
            </w:pPr>
          </w:p>
        </w:tc>
      </w:tr>
      <w:tr w:rsidR="008C172E" w14:paraId="37728CE4" w14:textId="77777777" w:rsidTr="00AE6DE7">
        <w:tc>
          <w:tcPr>
            <w:tcW w:w="3794" w:type="dxa"/>
          </w:tcPr>
          <w:p w14:paraId="0EEE2E86" w14:textId="298A7ED8" w:rsidR="008C172E" w:rsidRPr="00286B11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Numéro de TVA / numéro d'entreprise</w:t>
            </w:r>
          </w:p>
        </w:tc>
        <w:tc>
          <w:tcPr>
            <w:tcW w:w="6267" w:type="dxa"/>
          </w:tcPr>
          <w:p w14:paraId="627B838C" w14:textId="44B54C8D" w:rsidR="008C172E" w:rsidRPr="005562F5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C172E" w14:paraId="64D224F0" w14:textId="77777777" w:rsidTr="00AE6DE7">
        <w:tc>
          <w:tcPr>
            <w:tcW w:w="3794" w:type="dxa"/>
          </w:tcPr>
          <w:p w14:paraId="0A55B83E" w14:textId="05CFD2E4" w:rsidR="008C172E" w:rsidRPr="00286B11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Numéro de compte</w:t>
            </w:r>
          </w:p>
        </w:tc>
        <w:tc>
          <w:tcPr>
            <w:tcW w:w="6267" w:type="dxa"/>
          </w:tcPr>
          <w:p w14:paraId="1589DC39" w14:textId="167E2753" w:rsidR="008C172E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nl-NL"/>
              </w:rPr>
            </w:pPr>
          </w:p>
        </w:tc>
      </w:tr>
      <w:tr w:rsidR="000905DC" w14:paraId="2E08AA9D" w14:textId="77777777" w:rsidTr="00AE6DE7">
        <w:tc>
          <w:tcPr>
            <w:tcW w:w="3794" w:type="dxa"/>
          </w:tcPr>
          <w:p w14:paraId="50691BC7" w14:textId="23EBFCBA" w:rsidR="000905DC" w:rsidRPr="00286B11" w:rsidRDefault="000905DC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Numéro BIC</w:t>
            </w:r>
          </w:p>
        </w:tc>
        <w:tc>
          <w:tcPr>
            <w:tcW w:w="6267" w:type="dxa"/>
          </w:tcPr>
          <w:p w14:paraId="6B5B70F0" w14:textId="77777777" w:rsidR="000905DC" w:rsidRDefault="000905DC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nl-NL"/>
              </w:rPr>
            </w:pPr>
          </w:p>
        </w:tc>
      </w:tr>
    </w:tbl>
    <w:p w14:paraId="40571D7A" w14:textId="77777777" w:rsidR="003C62A2" w:rsidRDefault="003C62A2" w:rsidP="00286B11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  <w:lang w:val="nl-NL"/>
        </w:rPr>
      </w:pPr>
    </w:p>
    <w:p w14:paraId="15BADEB0" w14:textId="77777777" w:rsidR="009E4724" w:rsidRDefault="009E4724" w:rsidP="00286B11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  <w:lang w:val="nl-NL"/>
        </w:rPr>
      </w:pPr>
    </w:p>
    <w:p w14:paraId="515038D8" w14:textId="1DA673F2" w:rsidR="00286B11" w:rsidRDefault="005134C7" w:rsidP="00286B11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</w:rPr>
      </w:pPr>
      <w:r>
        <w:rPr>
          <w:b/>
          <w:sz w:val="20"/>
          <w:u w:val="single"/>
        </w:rPr>
        <w:t>Prix général - informations techniques</w:t>
      </w:r>
    </w:p>
    <w:p w14:paraId="46C24C88" w14:textId="77777777" w:rsidR="003C62A2" w:rsidRDefault="003C62A2" w:rsidP="00286B11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42"/>
        <w:gridCol w:w="6169"/>
      </w:tblGrid>
      <w:tr w:rsidR="00286B11" w14:paraId="308375C9" w14:textId="77777777" w:rsidTr="00AE6DE7">
        <w:tc>
          <w:tcPr>
            <w:tcW w:w="3794" w:type="dxa"/>
          </w:tcPr>
          <w:p w14:paraId="2CE19582" w14:textId="7CEED2ED" w:rsidR="00286B11" w:rsidRPr="00286B11" w:rsidRDefault="00286B11" w:rsidP="00286B11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Objet</w:t>
            </w:r>
          </w:p>
        </w:tc>
        <w:tc>
          <w:tcPr>
            <w:tcW w:w="6267" w:type="dxa"/>
          </w:tcPr>
          <w:p w14:paraId="6531547F" w14:textId="56850079" w:rsidR="00286B11" w:rsidRPr="00AE6DE7" w:rsidRDefault="003C62A2" w:rsidP="00286B11">
            <w:pPr>
              <w:spacing w:line="276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</w:rPr>
            </w:pPr>
            <w:r>
              <w:rPr>
                <w:i/>
                <w:sz w:val="20"/>
              </w:rPr>
              <w:t>Titre descriptif du marché</w:t>
            </w:r>
          </w:p>
        </w:tc>
      </w:tr>
      <w:tr w:rsidR="00286B11" w14:paraId="6D5DA444" w14:textId="77777777" w:rsidTr="00AE6DE7">
        <w:tc>
          <w:tcPr>
            <w:tcW w:w="3794" w:type="dxa"/>
          </w:tcPr>
          <w:p w14:paraId="3E4A7E34" w14:textId="3EA9480D" w:rsidR="00286B11" w:rsidRPr="00286B11" w:rsidRDefault="0072279E" w:rsidP="00286B11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Délai d'exécution</w:t>
            </w:r>
          </w:p>
        </w:tc>
        <w:tc>
          <w:tcPr>
            <w:tcW w:w="6267" w:type="dxa"/>
          </w:tcPr>
          <w:p w14:paraId="4AD87718" w14:textId="0FA5017D" w:rsidR="00286B11" w:rsidRPr="00AE6DE7" w:rsidRDefault="003C62A2" w:rsidP="00286B11">
            <w:pPr>
              <w:spacing w:line="276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</w:rPr>
            </w:pPr>
            <w:r>
              <w:rPr>
                <w:i/>
                <w:sz w:val="20"/>
              </w:rPr>
              <w:t>Période à déterminer</w:t>
            </w:r>
          </w:p>
        </w:tc>
      </w:tr>
      <w:tr w:rsidR="00286B11" w14:paraId="057CC6CD" w14:textId="77777777" w:rsidTr="00AE6DE7">
        <w:tc>
          <w:tcPr>
            <w:tcW w:w="3794" w:type="dxa"/>
          </w:tcPr>
          <w:p w14:paraId="22A80B79" w14:textId="7E935FF7" w:rsidR="00286B11" w:rsidRPr="00286B11" w:rsidRDefault="00B638E7" w:rsidP="00286B11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Fourchette estimation de prix (optionnel)</w:t>
            </w:r>
          </w:p>
        </w:tc>
        <w:tc>
          <w:tcPr>
            <w:tcW w:w="6267" w:type="dxa"/>
          </w:tcPr>
          <w:p w14:paraId="23CCDE66" w14:textId="3514EDAE" w:rsidR="00286B11" w:rsidRPr="00AE6DE7" w:rsidRDefault="00B638E7" w:rsidP="00286B11">
            <w:pPr>
              <w:spacing w:line="276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Le prix du marché est estimé entre xx euros et xx euros HTVA. </w:t>
            </w:r>
          </w:p>
        </w:tc>
      </w:tr>
      <w:tr w:rsidR="00BE5EFE" w14:paraId="7C42D35C" w14:textId="77777777" w:rsidTr="00AE6DE7">
        <w:tc>
          <w:tcPr>
            <w:tcW w:w="3794" w:type="dxa"/>
          </w:tcPr>
          <w:p w14:paraId="233D60E1" w14:textId="1A3A317C" w:rsidR="00BE5EFE" w:rsidRDefault="00BE5EFE" w:rsidP="00286B11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Conditions de paiement </w:t>
            </w:r>
          </w:p>
        </w:tc>
        <w:tc>
          <w:tcPr>
            <w:tcW w:w="6267" w:type="dxa"/>
          </w:tcPr>
          <w:p w14:paraId="04BA5B07" w14:textId="03B95D4F" w:rsidR="00BE5EFE" w:rsidRDefault="00BE5EFE" w:rsidP="00286B11">
            <w:pPr>
              <w:spacing w:line="276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</w:rPr>
            </w:pPr>
            <w:r>
              <w:rPr>
                <w:i/>
                <w:sz w:val="20"/>
              </w:rPr>
              <w:t>Indiquez ici comment le marché sera payé (par tranches, périodiquement, globalement…)</w:t>
            </w:r>
          </w:p>
        </w:tc>
      </w:tr>
    </w:tbl>
    <w:p w14:paraId="346E18D0" w14:textId="21DD615C" w:rsidR="00286B11" w:rsidRPr="003C62A2" w:rsidRDefault="00286B11" w:rsidP="00D9377E">
      <w:pPr>
        <w:tabs>
          <w:tab w:val="left" w:pos="5650"/>
        </w:tabs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</w:rPr>
      </w:pPr>
      <w:r>
        <w:rPr>
          <w:b/>
          <w:sz w:val="20"/>
          <w:u w:val="single"/>
        </w:rPr>
        <w:lastRenderedPageBreak/>
        <w:t>Description spécifique du marché subséquent</w:t>
      </w:r>
      <w:r w:rsidR="00D9377E">
        <w:rPr>
          <w:b/>
          <w:sz w:val="20"/>
          <w:u w:val="single"/>
        </w:rPr>
        <w:tab/>
      </w:r>
    </w:p>
    <w:p w14:paraId="4BF942FB" w14:textId="348B6D0D" w:rsidR="003C62A2" w:rsidRPr="005562F5" w:rsidRDefault="003C62A2" w:rsidP="00627B44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</w:rPr>
      </w:pPr>
    </w:p>
    <w:p w14:paraId="63E36BB4" w14:textId="0A36161E" w:rsidR="003C62A2" w:rsidRDefault="003C62A2" w:rsidP="00627B44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</w:rPr>
      </w:pPr>
      <w:r>
        <w:rPr>
          <w:b/>
          <w:sz w:val="20"/>
        </w:rPr>
        <w:t xml:space="preserve">Description du projet </w:t>
      </w:r>
    </w:p>
    <w:p w14:paraId="0E5885F9" w14:textId="398B9FBF" w:rsidR="003C62A2" w:rsidRPr="005562F5" w:rsidRDefault="003C62A2" w:rsidP="00627B44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</w:rPr>
      </w:pPr>
    </w:p>
    <w:p w14:paraId="3C7C2B11" w14:textId="31E7DDEA" w:rsidR="003C62A2" w:rsidRPr="003C62A2" w:rsidRDefault="003C62A2" w:rsidP="00627B44">
      <w:pPr>
        <w:spacing w:line="276" w:lineRule="auto"/>
        <w:jc w:val="both"/>
        <w:rPr>
          <w:rFonts w:eastAsia="Times New Roman" w:cs="Arial"/>
          <w:i/>
          <w:iCs/>
          <w:sz w:val="20"/>
          <w:szCs w:val="20"/>
        </w:rPr>
      </w:pPr>
      <w:r>
        <w:rPr>
          <w:i/>
          <w:sz w:val="20"/>
        </w:rPr>
        <w:t>(Max 2 A4 - avec référence</w:t>
      </w:r>
      <w:r w:rsidR="00DB3BF3">
        <w:rPr>
          <w:i/>
          <w:sz w:val="20"/>
        </w:rPr>
        <w:t xml:space="preserve">s </w:t>
      </w:r>
      <w:r w:rsidR="00AE1D74">
        <w:rPr>
          <w:i/>
          <w:sz w:val="20"/>
        </w:rPr>
        <w:t>claires</w:t>
      </w:r>
      <w:r>
        <w:rPr>
          <w:i/>
          <w:sz w:val="20"/>
        </w:rPr>
        <w:t xml:space="preserve"> aux objectifs </w:t>
      </w:r>
      <w:r w:rsidR="007010A3">
        <w:rPr>
          <w:i/>
          <w:sz w:val="20"/>
        </w:rPr>
        <w:t>de OPEN Brussels</w:t>
      </w:r>
      <w:r>
        <w:rPr>
          <w:i/>
          <w:sz w:val="20"/>
        </w:rPr>
        <w:t>.)</w:t>
      </w:r>
    </w:p>
    <w:p w14:paraId="781FEF73" w14:textId="13A300C9" w:rsidR="003C62A2" w:rsidRPr="005562F5" w:rsidRDefault="003C62A2" w:rsidP="00627B44">
      <w:pPr>
        <w:spacing w:line="276" w:lineRule="auto"/>
        <w:jc w:val="both"/>
        <w:rPr>
          <w:rFonts w:eastAsia="Times New Roman" w:cs="Arial"/>
          <w:sz w:val="20"/>
          <w:szCs w:val="20"/>
        </w:rPr>
      </w:pPr>
    </w:p>
    <w:p w14:paraId="6F61E8AC" w14:textId="1A27FD88" w:rsidR="00CE6A99" w:rsidRPr="005562F5" w:rsidRDefault="00CE6A99" w:rsidP="00627B44">
      <w:pPr>
        <w:spacing w:line="276" w:lineRule="auto"/>
        <w:jc w:val="both"/>
        <w:rPr>
          <w:rFonts w:eastAsia="Times New Roman" w:cs="Arial"/>
          <w:sz w:val="20"/>
          <w:szCs w:val="20"/>
        </w:rPr>
      </w:pPr>
    </w:p>
    <w:p w14:paraId="0B360561" w14:textId="756F3253" w:rsidR="00CE6A99" w:rsidRPr="005562F5" w:rsidRDefault="00CE6A99" w:rsidP="00627B44">
      <w:pPr>
        <w:spacing w:line="276" w:lineRule="auto"/>
        <w:jc w:val="both"/>
        <w:rPr>
          <w:rFonts w:eastAsia="Times New Roman" w:cs="Arial"/>
          <w:sz w:val="20"/>
          <w:szCs w:val="20"/>
        </w:rPr>
      </w:pPr>
    </w:p>
    <w:p w14:paraId="68C81A62" w14:textId="77777777" w:rsidR="00CE6A99" w:rsidRPr="005562F5" w:rsidRDefault="00CE6A99" w:rsidP="00627B44">
      <w:pPr>
        <w:spacing w:line="276" w:lineRule="auto"/>
        <w:jc w:val="both"/>
        <w:rPr>
          <w:rFonts w:eastAsia="Times New Roman" w:cs="Arial"/>
          <w:sz w:val="20"/>
          <w:szCs w:val="20"/>
        </w:rPr>
      </w:pPr>
    </w:p>
    <w:p w14:paraId="07AE9274" w14:textId="77777777" w:rsidR="009E4724" w:rsidRDefault="009E4724">
      <w:pPr>
        <w:tabs>
          <w:tab w:val="clear" w:pos="3686"/>
        </w:tabs>
        <w:spacing w:after="200" w:line="276" w:lineRule="auto"/>
        <w:contextualSpacing w:val="0"/>
        <w:rPr>
          <w:rFonts w:eastAsia="Times New Roman" w:cs="Arial"/>
          <w:b/>
          <w:bCs/>
          <w:sz w:val="20"/>
          <w:szCs w:val="20"/>
        </w:rPr>
      </w:pPr>
      <w:r>
        <w:br w:type="page"/>
      </w:r>
    </w:p>
    <w:p w14:paraId="445C2585" w14:textId="4F352C21" w:rsidR="003C62A2" w:rsidRPr="00AE6DE7" w:rsidRDefault="003C62A2" w:rsidP="009E4724">
      <w:pPr>
        <w:tabs>
          <w:tab w:val="clear" w:pos="3686"/>
        </w:tabs>
        <w:spacing w:after="200" w:line="276" w:lineRule="auto"/>
        <w:contextualSpacing w:val="0"/>
        <w:rPr>
          <w:rFonts w:eastAsia="Times New Roman" w:cs="Arial"/>
          <w:b/>
          <w:bCs/>
          <w:sz w:val="20"/>
          <w:szCs w:val="20"/>
        </w:rPr>
      </w:pPr>
      <w:r>
        <w:rPr>
          <w:b/>
          <w:sz w:val="20"/>
        </w:rPr>
        <w:lastRenderedPageBreak/>
        <w:t xml:space="preserve">Métré à compléter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4"/>
        <w:gridCol w:w="5533"/>
        <w:gridCol w:w="1657"/>
        <w:gridCol w:w="1777"/>
      </w:tblGrid>
      <w:tr w:rsidR="00286B11" w14:paraId="3B4F63BF" w14:textId="77777777" w:rsidTr="005134C7">
        <w:tc>
          <w:tcPr>
            <w:tcW w:w="959" w:type="dxa"/>
            <w:shd w:val="clear" w:color="auto" w:fill="D9D9D9" w:themeFill="background1" w:themeFillShade="D9"/>
          </w:tcPr>
          <w:p w14:paraId="61679D10" w14:textId="2245D273" w:rsidR="00286B11" w:rsidRPr="00AE6DE7" w:rsidRDefault="00286B11" w:rsidP="00627B44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N° de poste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F01505E" w14:textId="4A86F823" w:rsidR="00286B11" w:rsidRPr="00AE6DE7" w:rsidRDefault="00AE6DE7" w:rsidP="00627B44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Description des services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0751305" w14:textId="7DC91783" w:rsidR="00286B11" w:rsidRPr="00AE6DE7" w:rsidRDefault="00286B11" w:rsidP="00627B44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Unité de mesure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14:paraId="36677DBC" w14:textId="3123F5E2" w:rsidR="00286B11" w:rsidRPr="00AE6DE7" w:rsidRDefault="00286B11" w:rsidP="00627B44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Prix unitaire</w:t>
            </w:r>
          </w:p>
        </w:tc>
      </w:tr>
      <w:tr w:rsidR="003C62A2" w14:paraId="79DC3C84" w14:textId="77777777" w:rsidTr="00AE6DE7">
        <w:tc>
          <w:tcPr>
            <w:tcW w:w="959" w:type="dxa"/>
          </w:tcPr>
          <w:p w14:paraId="6FB2770B" w14:textId="6BEA7A22" w:rsidR="003C62A2" w:rsidRDefault="003C62A2" w:rsidP="003C62A2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53" w:type="dxa"/>
          </w:tcPr>
          <w:p w14:paraId="2C8DC6FA" w14:textId="5D38A862" w:rsidR="003C62A2" w:rsidRPr="003C62A2" w:rsidRDefault="009E4724" w:rsidP="003C62A2">
            <w:pPr>
              <w:spacing w:line="276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</w:rPr>
            </w:pPr>
            <w:r>
              <w:rPr>
                <w:i/>
                <w:sz w:val="20"/>
              </w:rPr>
              <w:t>Décrivez le service X – par l’adjudicateur</w:t>
            </w:r>
          </w:p>
        </w:tc>
        <w:tc>
          <w:tcPr>
            <w:tcW w:w="1560" w:type="dxa"/>
          </w:tcPr>
          <w:p w14:paraId="5617208A" w14:textId="7C9EA66F" w:rsidR="003C62A2" w:rsidRPr="003C62A2" w:rsidRDefault="003C62A2" w:rsidP="003C62A2">
            <w:pPr>
              <w:spacing w:line="276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</w:rPr>
            </w:pPr>
            <w:r>
              <w:rPr>
                <w:i/>
                <w:sz w:val="20"/>
              </w:rPr>
              <w:t>Adjudicateur</w:t>
            </w:r>
          </w:p>
        </w:tc>
        <w:tc>
          <w:tcPr>
            <w:tcW w:w="1589" w:type="dxa"/>
          </w:tcPr>
          <w:p w14:paraId="50481F0E" w14:textId="3441D6F0" w:rsidR="003C62A2" w:rsidRPr="003C62A2" w:rsidRDefault="003C62A2" w:rsidP="003C62A2">
            <w:pPr>
              <w:spacing w:line="276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</w:rPr>
            </w:pPr>
            <w:r>
              <w:rPr>
                <w:i/>
                <w:sz w:val="20"/>
              </w:rPr>
              <w:t>Adjudicataire</w:t>
            </w:r>
          </w:p>
        </w:tc>
      </w:tr>
      <w:tr w:rsidR="009E4724" w14:paraId="23A98DAA" w14:textId="77777777" w:rsidTr="00AE6DE7">
        <w:tc>
          <w:tcPr>
            <w:tcW w:w="959" w:type="dxa"/>
          </w:tcPr>
          <w:p w14:paraId="110A8B64" w14:textId="1D5C50C8" w:rsidR="009E4724" w:rsidRDefault="009E4724" w:rsidP="009E4724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3" w:type="dxa"/>
          </w:tcPr>
          <w:p w14:paraId="5C92437C" w14:textId="7DB2D4F9" w:rsidR="009E4724" w:rsidRDefault="009E4724" w:rsidP="009E4724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i/>
                <w:sz w:val="20"/>
              </w:rPr>
              <w:t>Décrivez le service Y – par l’adjudicateur</w:t>
            </w:r>
          </w:p>
        </w:tc>
        <w:tc>
          <w:tcPr>
            <w:tcW w:w="1560" w:type="dxa"/>
          </w:tcPr>
          <w:p w14:paraId="7233C2D0" w14:textId="6CF0D8DB" w:rsidR="009E4724" w:rsidRDefault="009E4724" w:rsidP="009E4724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i/>
                <w:sz w:val="20"/>
              </w:rPr>
              <w:t>Adjudicateur</w:t>
            </w:r>
          </w:p>
        </w:tc>
        <w:tc>
          <w:tcPr>
            <w:tcW w:w="1589" w:type="dxa"/>
          </w:tcPr>
          <w:p w14:paraId="46C58C70" w14:textId="56156A0C" w:rsidR="009E4724" w:rsidRDefault="009E4724" w:rsidP="009E4724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i/>
                <w:sz w:val="20"/>
              </w:rPr>
              <w:t>Adjudicataire</w:t>
            </w:r>
          </w:p>
        </w:tc>
      </w:tr>
      <w:tr w:rsidR="009E4724" w14:paraId="41A40716" w14:textId="77777777" w:rsidTr="00AE6DE7">
        <w:tc>
          <w:tcPr>
            <w:tcW w:w="959" w:type="dxa"/>
          </w:tcPr>
          <w:p w14:paraId="3AAC7897" w14:textId="7993C7D1" w:rsidR="009E4724" w:rsidRDefault="009E4724" w:rsidP="009E4724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3" w:type="dxa"/>
          </w:tcPr>
          <w:p w14:paraId="059B1DCA" w14:textId="58FD2059" w:rsidR="009E4724" w:rsidRDefault="009E4724" w:rsidP="009E4724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i/>
                <w:sz w:val="20"/>
              </w:rPr>
              <w:t>Décrivez le service Z – par l’adjudicateur</w:t>
            </w:r>
          </w:p>
        </w:tc>
        <w:tc>
          <w:tcPr>
            <w:tcW w:w="1560" w:type="dxa"/>
          </w:tcPr>
          <w:p w14:paraId="2AD27533" w14:textId="6EBC3A2C" w:rsidR="009E4724" w:rsidRDefault="009E4724" w:rsidP="009E4724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i/>
                <w:sz w:val="20"/>
              </w:rPr>
              <w:t>Adjudicateur</w:t>
            </w:r>
          </w:p>
        </w:tc>
        <w:tc>
          <w:tcPr>
            <w:tcW w:w="1589" w:type="dxa"/>
          </w:tcPr>
          <w:p w14:paraId="66E6DC73" w14:textId="0E922B46" w:rsidR="009E4724" w:rsidRDefault="009E4724" w:rsidP="009E4724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i/>
                <w:sz w:val="20"/>
              </w:rPr>
              <w:t>Adjudicataire</w:t>
            </w:r>
          </w:p>
        </w:tc>
      </w:tr>
      <w:tr w:rsidR="009E4724" w14:paraId="6FEE9072" w14:textId="77777777" w:rsidTr="00AE6DE7">
        <w:tc>
          <w:tcPr>
            <w:tcW w:w="959" w:type="dxa"/>
          </w:tcPr>
          <w:p w14:paraId="4CB0B2A1" w14:textId="0F4F7E4B" w:rsidR="009E4724" w:rsidRDefault="009E4724" w:rsidP="009E4724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5953" w:type="dxa"/>
          </w:tcPr>
          <w:p w14:paraId="31C1A9F3" w14:textId="754EA294" w:rsidR="009E4724" w:rsidRDefault="009E4724" w:rsidP="009E4724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i/>
                <w:sz w:val="20"/>
              </w:rPr>
              <w:t>Décrivez le service W – par l’adjudicateur</w:t>
            </w:r>
          </w:p>
        </w:tc>
        <w:tc>
          <w:tcPr>
            <w:tcW w:w="1560" w:type="dxa"/>
          </w:tcPr>
          <w:p w14:paraId="6DA1927C" w14:textId="06C119C1" w:rsidR="009E4724" w:rsidRDefault="009E4724" w:rsidP="009E4724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i/>
                <w:sz w:val="20"/>
              </w:rPr>
              <w:t>Adjudicateur</w:t>
            </w:r>
          </w:p>
        </w:tc>
        <w:tc>
          <w:tcPr>
            <w:tcW w:w="1589" w:type="dxa"/>
          </w:tcPr>
          <w:p w14:paraId="6A7D9CA0" w14:textId="1892D8E6" w:rsidR="009E4724" w:rsidRDefault="009E4724" w:rsidP="009E4724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i/>
                <w:sz w:val="20"/>
              </w:rPr>
              <w:t>Adjudicataire</w:t>
            </w:r>
          </w:p>
        </w:tc>
      </w:tr>
      <w:tr w:rsidR="003C62A2" w14:paraId="127DF080" w14:textId="77777777" w:rsidTr="00AE6DE7">
        <w:tc>
          <w:tcPr>
            <w:tcW w:w="959" w:type="dxa"/>
          </w:tcPr>
          <w:p w14:paraId="2E285BF4" w14:textId="77777777" w:rsidR="003C62A2" w:rsidRDefault="003C62A2" w:rsidP="003C62A2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nl-NL"/>
              </w:rPr>
            </w:pPr>
          </w:p>
        </w:tc>
        <w:tc>
          <w:tcPr>
            <w:tcW w:w="5953" w:type="dxa"/>
          </w:tcPr>
          <w:p w14:paraId="5D5C60E7" w14:textId="77777777" w:rsidR="003C62A2" w:rsidRDefault="003C62A2" w:rsidP="003C62A2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</w:tcPr>
          <w:p w14:paraId="3BFE5FC6" w14:textId="77777777" w:rsidR="003C62A2" w:rsidRDefault="003C62A2" w:rsidP="003C62A2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</w:p>
        </w:tc>
        <w:tc>
          <w:tcPr>
            <w:tcW w:w="1589" w:type="dxa"/>
          </w:tcPr>
          <w:p w14:paraId="28AD1150" w14:textId="77777777" w:rsidR="003C62A2" w:rsidRDefault="003C62A2" w:rsidP="003C62A2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</w:p>
        </w:tc>
      </w:tr>
      <w:tr w:rsidR="003C62A2" w14:paraId="310A6B2C" w14:textId="77777777" w:rsidTr="005134C7">
        <w:tc>
          <w:tcPr>
            <w:tcW w:w="959" w:type="dxa"/>
            <w:shd w:val="clear" w:color="auto" w:fill="D9D9D9" w:themeFill="background1" w:themeFillShade="D9"/>
          </w:tcPr>
          <w:p w14:paraId="162E65EB" w14:textId="63A17C24" w:rsidR="003C62A2" w:rsidRPr="005134C7" w:rsidRDefault="003C62A2" w:rsidP="003C62A2">
            <w:pPr>
              <w:spacing w:line="276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XXX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D089495" w14:textId="0485FCC9" w:rsidR="003C62A2" w:rsidRPr="005134C7" w:rsidRDefault="003C62A2" w:rsidP="003C62A2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D38D20D" w14:textId="4384B22B" w:rsidR="003C62A2" w:rsidRPr="005134C7" w:rsidRDefault="003C62A2" w:rsidP="003C62A2">
            <w:pPr>
              <w:spacing w:line="276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XXX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14:paraId="27DEFFDC" w14:textId="77777777" w:rsidR="003C62A2" w:rsidRPr="005134C7" w:rsidRDefault="003C62A2" w:rsidP="003C62A2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</w:p>
        </w:tc>
      </w:tr>
    </w:tbl>
    <w:p w14:paraId="5B1DFFD1" w14:textId="77777777" w:rsidR="00286B11" w:rsidRPr="00246578" w:rsidRDefault="00286B11" w:rsidP="00627B44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</w:p>
    <w:p w14:paraId="6051B310" w14:textId="77777777" w:rsidR="005134C7" w:rsidRDefault="005134C7" w:rsidP="00463FFD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</w:p>
    <w:p w14:paraId="36864A98" w14:textId="77777777" w:rsidR="005134C7" w:rsidRDefault="005134C7" w:rsidP="00463FFD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</w:p>
    <w:p w14:paraId="0ADBE7A9" w14:textId="77777777" w:rsidR="009E4724" w:rsidRPr="009E4724" w:rsidRDefault="00286B11" w:rsidP="009E4724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</w:rPr>
      </w:pPr>
      <w:r>
        <w:rPr>
          <w:b/>
          <w:sz w:val="20"/>
          <w:u w:val="single"/>
        </w:rPr>
        <w:t>Rôles &amp; responsabilités</w:t>
      </w:r>
    </w:p>
    <w:p w14:paraId="5FD02ECD" w14:textId="3152E3F9" w:rsidR="00463FFD" w:rsidRDefault="00463FFD" w:rsidP="00463FFD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6"/>
        <w:gridCol w:w="4955"/>
      </w:tblGrid>
      <w:tr w:rsidR="008B1D5F" w14:paraId="2DF27D78" w14:textId="77777777" w:rsidTr="008B1D5F">
        <w:tc>
          <w:tcPr>
            <w:tcW w:w="5030" w:type="dxa"/>
          </w:tcPr>
          <w:p w14:paraId="4FAA9029" w14:textId="214E3415" w:rsidR="008B1D5F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Rôle du pouvoir adjudicateur</w:t>
            </w:r>
          </w:p>
        </w:tc>
        <w:tc>
          <w:tcPr>
            <w:tcW w:w="5031" w:type="dxa"/>
          </w:tcPr>
          <w:p w14:paraId="5D695BC5" w14:textId="77777777" w:rsidR="008B1D5F" w:rsidRDefault="008B1D5F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</w:p>
        </w:tc>
      </w:tr>
      <w:tr w:rsidR="00B83B8E" w14:paraId="42E29699" w14:textId="77777777" w:rsidTr="008B1D5F">
        <w:tc>
          <w:tcPr>
            <w:tcW w:w="5030" w:type="dxa"/>
          </w:tcPr>
          <w:p w14:paraId="751C8360" w14:textId="434BFC7F" w:rsidR="00B83B8E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Rôle du fonctionnaire dirigeant du marché partiel</w:t>
            </w:r>
          </w:p>
        </w:tc>
        <w:tc>
          <w:tcPr>
            <w:tcW w:w="5031" w:type="dxa"/>
          </w:tcPr>
          <w:p w14:paraId="61E90145" w14:textId="49AB1143" w:rsidR="00B83B8E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Adjudicateur</w:t>
            </w:r>
          </w:p>
        </w:tc>
      </w:tr>
      <w:tr w:rsidR="008B1D5F" w14:paraId="18CD9C64" w14:textId="77777777" w:rsidTr="008B1D5F">
        <w:tc>
          <w:tcPr>
            <w:tcW w:w="5030" w:type="dxa"/>
          </w:tcPr>
          <w:p w14:paraId="4AC42375" w14:textId="0CDA194F" w:rsidR="008B1D5F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Rôle de la centrale de marchés</w:t>
            </w:r>
          </w:p>
        </w:tc>
        <w:tc>
          <w:tcPr>
            <w:tcW w:w="5031" w:type="dxa"/>
          </w:tcPr>
          <w:p w14:paraId="6191288D" w14:textId="5C0C6C0F" w:rsidR="008B1D5F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 xml:space="preserve">Adjudication </w:t>
            </w:r>
          </w:p>
        </w:tc>
      </w:tr>
    </w:tbl>
    <w:p w14:paraId="326E56F9" w14:textId="77777777" w:rsidR="009E4724" w:rsidRDefault="009E4724" w:rsidP="00B83B8E">
      <w:pPr>
        <w:spacing w:line="276" w:lineRule="auto"/>
        <w:rPr>
          <w:rFonts w:eastAsia="Times New Roman" w:cs="Arial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B1D5F" w14:paraId="3C8277DB" w14:textId="77777777" w:rsidTr="008B1D5F">
        <w:tc>
          <w:tcPr>
            <w:tcW w:w="5030" w:type="dxa"/>
          </w:tcPr>
          <w:p w14:paraId="7D7CC6C9" w14:textId="72972A34" w:rsidR="008B1D5F" w:rsidRDefault="008B1D5F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Lancer un marché</w:t>
            </w:r>
          </w:p>
        </w:tc>
        <w:tc>
          <w:tcPr>
            <w:tcW w:w="5031" w:type="dxa"/>
          </w:tcPr>
          <w:p w14:paraId="36E2F94B" w14:textId="3437F082" w:rsidR="008B1D5F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Adjudicateur</w:t>
            </w:r>
          </w:p>
        </w:tc>
      </w:tr>
      <w:tr w:rsidR="008B1D5F" w14:paraId="05D0915D" w14:textId="77777777" w:rsidTr="008B1D5F">
        <w:tc>
          <w:tcPr>
            <w:tcW w:w="5030" w:type="dxa"/>
          </w:tcPr>
          <w:p w14:paraId="743CDC94" w14:textId="3A82EF58" w:rsidR="008B1D5F" w:rsidRDefault="008B1D5F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Fin et réception de l’accord-cadre</w:t>
            </w:r>
          </w:p>
        </w:tc>
        <w:tc>
          <w:tcPr>
            <w:tcW w:w="5031" w:type="dxa"/>
          </w:tcPr>
          <w:p w14:paraId="5DE719AB" w14:textId="00A15D22" w:rsidR="008B1D5F" w:rsidRDefault="007010A3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Bruxelles Environnement</w:t>
            </w:r>
          </w:p>
        </w:tc>
      </w:tr>
      <w:tr w:rsidR="008B1D5F" w14:paraId="293C3CE5" w14:textId="77777777" w:rsidTr="008B1D5F">
        <w:tc>
          <w:tcPr>
            <w:tcW w:w="5030" w:type="dxa"/>
          </w:tcPr>
          <w:p w14:paraId="2D6540E7" w14:textId="0D7BFE64" w:rsidR="008B1D5F" w:rsidRDefault="008B1D5F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Fin des marchés lancés au sein de l’accord-cadre</w:t>
            </w:r>
          </w:p>
        </w:tc>
        <w:tc>
          <w:tcPr>
            <w:tcW w:w="5031" w:type="dxa"/>
          </w:tcPr>
          <w:p w14:paraId="2077A687" w14:textId="3EBE34D0" w:rsidR="008B1D5F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Adjudicateur</w:t>
            </w:r>
          </w:p>
        </w:tc>
      </w:tr>
      <w:tr w:rsidR="008B1D5F" w14:paraId="61BEE336" w14:textId="77777777" w:rsidTr="008B1D5F">
        <w:tc>
          <w:tcPr>
            <w:tcW w:w="5030" w:type="dxa"/>
          </w:tcPr>
          <w:p w14:paraId="06F8EB58" w14:textId="05E6CE61" w:rsidR="008B1D5F" w:rsidRDefault="008B1D5F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Application de peines et amendes</w:t>
            </w:r>
            <w:r>
              <w:rPr>
                <w:sz w:val="20"/>
              </w:rPr>
              <w:br/>
              <w:t>(le cas échéant)</w:t>
            </w:r>
          </w:p>
        </w:tc>
        <w:tc>
          <w:tcPr>
            <w:tcW w:w="5031" w:type="dxa"/>
          </w:tcPr>
          <w:p w14:paraId="166953C1" w14:textId="4051AF71" w:rsidR="008B1D5F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Adjudicateur</w:t>
            </w:r>
          </w:p>
        </w:tc>
      </w:tr>
      <w:tr w:rsidR="008B1D5F" w14:paraId="7861C214" w14:textId="77777777" w:rsidTr="008B1D5F">
        <w:tc>
          <w:tcPr>
            <w:tcW w:w="5030" w:type="dxa"/>
          </w:tcPr>
          <w:p w14:paraId="731F6F1F" w14:textId="45E8125A" w:rsidR="008B1D5F" w:rsidRDefault="008B1D5F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Cautionnement</w:t>
            </w:r>
          </w:p>
        </w:tc>
        <w:tc>
          <w:tcPr>
            <w:tcW w:w="5031" w:type="dxa"/>
          </w:tcPr>
          <w:p w14:paraId="17F6F6AB" w14:textId="407066B7" w:rsidR="008B1D5F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Adjudicateur</w:t>
            </w:r>
          </w:p>
        </w:tc>
      </w:tr>
      <w:tr w:rsidR="008B1D5F" w14:paraId="658AE7F0" w14:textId="77777777" w:rsidTr="008B1D5F">
        <w:tc>
          <w:tcPr>
            <w:tcW w:w="5030" w:type="dxa"/>
          </w:tcPr>
          <w:p w14:paraId="595F6FCD" w14:textId="60E09C1B" w:rsidR="008B1D5F" w:rsidRDefault="008B1D5F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Ajout, modification, suppression d’articles dans l’inventaire</w:t>
            </w:r>
          </w:p>
        </w:tc>
        <w:tc>
          <w:tcPr>
            <w:tcW w:w="5031" w:type="dxa"/>
          </w:tcPr>
          <w:p w14:paraId="3D50F319" w14:textId="497E9880" w:rsidR="008B1D5F" w:rsidRDefault="007010A3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Bruxelles Environnement</w:t>
            </w:r>
          </w:p>
        </w:tc>
      </w:tr>
      <w:tr w:rsidR="008B1D5F" w14:paraId="513D80E8" w14:textId="77777777" w:rsidTr="008B1D5F">
        <w:tc>
          <w:tcPr>
            <w:tcW w:w="5030" w:type="dxa"/>
          </w:tcPr>
          <w:p w14:paraId="1CF0C492" w14:textId="6EB2276D" w:rsidR="008B1D5F" w:rsidRDefault="008B1D5F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Signalement de problèmes, recherche de solutions, etc.</w:t>
            </w:r>
          </w:p>
        </w:tc>
        <w:tc>
          <w:tcPr>
            <w:tcW w:w="5031" w:type="dxa"/>
          </w:tcPr>
          <w:p w14:paraId="5BB1DB78" w14:textId="18C45EAA" w:rsidR="008B1D5F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Adjudicateur</w:t>
            </w:r>
          </w:p>
        </w:tc>
      </w:tr>
    </w:tbl>
    <w:p w14:paraId="0E2B22F4" w14:textId="77777777" w:rsidR="008B1D5F" w:rsidRDefault="008B1D5F" w:rsidP="00463FFD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</w:p>
    <w:p w14:paraId="22D944DF" w14:textId="172CF9F3" w:rsidR="008B1D5F" w:rsidRDefault="008B1D5F" w:rsidP="00463FFD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</w:p>
    <w:p w14:paraId="337D9141" w14:textId="35A915ED" w:rsidR="00AE6DE7" w:rsidRPr="00246578" w:rsidRDefault="00AE6DE7" w:rsidP="00463FFD">
      <w:pPr>
        <w:spacing w:line="276" w:lineRule="auto"/>
        <w:jc w:val="both"/>
        <w:rPr>
          <w:rFonts w:eastAsia="Times New Roman" w:cs="Arial"/>
          <w:sz w:val="20"/>
          <w:szCs w:val="20"/>
        </w:rPr>
      </w:pPr>
      <w:r>
        <w:rPr>
          <w:sz w:val="20"/>
        </w:rPr>
        <w:t>En souscrivant à cette demande, le pouvoir adjudicateur est d’accord avec le règlement</w:t>
      </w:r>
      <w:r w:rsidR="00AE1D74">
        <w:rPr>
          <w:sz w:val="20"/>
        </w:rPr>
        <w:t xml:space="preserve"> </w:t>
      </w:r>
      <w:r w:rsidR="007010A3">
        <w:rPr>
          <w:sz w:val="20"/>
        </w:rPr>
        <w:t>de OPEN Brussels</w:t>
      </w:r>
      <w:r>
        <w:rPr>
          <w:sz w:val="20"/>
        </w:rPr>
        <w:t xml:space="preserve">, </w:t>
      </w:r>
      <w:r w:rsidRPr="00AE1D74">
        <w:rPr>
          <w:sz w:val="20"/>
        </w:rPr>
        <w:t>ratifié par M</w:t>
      </w:r>
      <w:r w:rsidR="00AE1D74" w:rsidRPr="00AE1D74">
        <w:rPr>
          <w:sz w:val="20"/>
        </w:rPr>
        <w:t xml:space="preserve">me. Barbara </w:t>
      </w:r>
      <w:proofErr w:type="spellStart"/>
      <w:r w:rsidR="00AE1D74" w:rsidRPr="00AE1D74">
        <w:rPr>
          <w:sz w:val="20"/>
        </w:rPr>
        <w:t>Dewulf</w:t>
      </w:r>
      <w:proofErr w:type="spellEnd"/>
      <w:r w:rsidR="00AE1D74" w:rsidRPr="00AE1D74">
        <w:rPr>
          <w:sz w:val="20"/>
        </w:rPr>
        <w:t>, Directrice général et M. Benoît</w:t>
      </w:r>
      <w:r w:rsidR="002A2319" w:rsidRPr="00AE1D74">
        <w:rPr>
          <w:sz w:val="20"/>
        </w:rPr>
        <w:t xml:space="preserve"> </w:t>
      </w:r>
      <w:proofErr w:type="spellStart"/>
      <w:r w:rsidR="002A2319" w:rsidRPr="00AE1D74">
        <w:rPr>
          <w:sz w:val="20"/>
        </w:rPr>
        <w:t>Willocx</w:t>
      </w:r>
      <w:proofErr w:type="spellEnd"/>
      <w:r w:rsidR="002A2319" w:rsidRPr="00AE1D74">
        <w:rPr>
          <w:sz w:val="20"/>
        </w:rPr>
        <w:t>, Directeur général</w:t>
      </w:r>
      <w:r w:rsidRPr="00AE1D74">
        <w:rPr>
          <w:sz w:val="20"/>
        </w:rPr>
        <w:t xml:space="preserve">, </w:t>
      </w:r>
      <w:r w:rsidR="002A2319" w:rsidRPr="00AE1D74">
        <w:rPr>
          <w:sz w:val="20"/>
        </w:rPr>
        <w:t xml:space="preserve">Bruxelles </w:t>
      </w:r>
      <w:r w:rsidRPr="00AE1D74">
        <w:rPr>
          <w:sz w:val="20"/>
        </w:rPr>
        <w:t>Environnement en date du xx/yy/2022.</w:t>
      </w:r>
    </w:p>
    <w:sectPr w:rsidR="00AE6DE7" w:rsidRPr="00246578" w:rsidSect="00D937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 w:code="9"/>
      <w:pgMar w:top="2948" w:right="851" w:bottom="2552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F0FC1" w14:textId="77777777" w:rsidR="00420311" w:rsidRDefault="00420311" w:rsidP="00F11703">
      <w:pPr>
        <w:spacing w:line="240" w:lineRule="auto"/>
      </w:pPr>
      <w:r>
        <w:separator/>
      </w:r>
    </w:p>
    <w:p w14:paraId="5FAC26D1" w14:textId="77777777" w:rsidR="00420311" w:rsidRDefault="00420311"/>
  </w:endnote>
  <w:endnote w:type="continuationSeparator" w:id="0">
    <w:p w14:paraId="1D954EEA" w14:textId="77777777" w:rsidR="00420311" w:rsidRDefault="00420311" w:rsidP="00F11703">
      <w:pPr>
        <w:spacing w:line="240" w:lineRule="auto"/>
      </w:pPr>
      <w:r>
        <w:continuationSeparator/>
      </w:r>
    </w:p>
    <w:p w14:paraId="0401274D" w14:textId="77777777" w:rsidR="00420311" w:rsidRDefault="00420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erif-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FlandersArtSans-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FlandersArtSerif-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FlandersArtSerif-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3E90" w14:textId="436B276B" w:rsidR="00D37AD5" w:rsidRPr="005562F5" w:rsidRDefault="00D9377E" w:rsidP="00D37AD5">
    <w:pPr>
      <w:pStyle w:val="streepjes"/>
      <w:rPr>
        <w:lang w:val="nl-NL"/>
      </w:rPr>
    </w:pPr>
    <w:r>
      <w:rPr>
        <w:noProof/>
        <w:lang w:eastAsia="fr-BE"/>
      </w:rPr>
      <w:drawing>
        <wp:anchor distT="0" distB="0" distL="114300" distR="114300" simplePos="0" relativeHeight="251680768" behindDoc="0" locked="0" layoutInCell="1" allowOverlap="1" wp14:anchorId="7E9A4430" wp14:editId="336D92DB">
          <wp:simplePos x="0" y="0"/>
          <wp:positionH relativeFrom="margin">
            <wp:posOffset>3117850</wp:posOffset>
          </wp:positionH>
          <wp:positionV relativeFrom="paragraph">
            <wp:posOffset>62865</wp:posOffset>
          </wp:positionV>
          <wp:extent cx="1524931" cy="702226"/>
          <wp:effectExtent l="0" t="0" r="0" b="3175"/>
          <wp:wrapNone/>
          <wp:docPr id="10" name="Afbeelding 10" descr="Leefmilieu Bru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fmilieu Bruss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931" cy="70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10ED42" w14:textId="4A7BE330" w:rsidR="00D37AD5" w:rsidRPr="005562F5" w:rsidRDefault="00D9377E" w:rsidP="00D37AD5">
    <w:pPr>
      <w:pStyle w:val="Voettekst"/>
      <w:rPr>
        <w:lang w:val="nl-NL"/>
      </w:rPr>
    </w:pPr>
    <w:r>
      <w:rPr>
        <w:noProof/>
        <w:lang w:eastAsia="fr-BE"/>
      </w:rPr>
      <w:drawing>
        <wp:anchor distT="0" distB="0" distL="114300" distR="114300" simplePos="0" relativeHeight="251681792" behindDoc="0" locked="0" layoutInCell="1" allowOverlap="1" wp14:anchorId="7A3C7D7E" wp14:editId="0A13AD6B">
          <wp:simplePos x="0" y="0"/>
          <wp:positionH relativeFrom="margin">
            <wp:align>right</wp:align>
          </wp:positionH>
          <wp:positionV relativeFrom="paragraph">
            <wp:posOffset>43815</wp:posOffset>
          </wp:positionV>
          <wp:extent cx="1430618" cy="349543"/>
          <wp:effectExtent l="0" t="0" r="0" b="0"/>
          <wp:wrapNone/>
          <wp:docPr id="11" name="Afbeelding 11" descr="Onze logo's | perspective.bruss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nze logo's | perspective.brusse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18" cy="34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2FFC8D" w14:textId="77777777" w:rsidR="00D37AD5" w:rsidRPr="005562F5" w:rsidRDefault="00D37AD5" w:rsidP="007010A3">
    <w:pPr>
      <w:pStyle w:val="Voettekst"/>
      <w:rPr>
        <w:lang w:val="nl-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ED97" w14:textId="1E70AFB2" w:rsidR="00FF15EB" w:rsidRPr="00AE1D74" w:rsidRDefault="00D9377E" w:rsidP="00FF15EB">
    <w:pPr>
      <w:pStyle w:val="streepjes"/>
      <w:rPr>
        <w:lang w:val="nl-NL"/>
      </w:rPr>
    </w:pPr>
    <w:r w:rsidRPr="00D9377E">
      <w:drawing>
        <wp:anchor distT="0" distB="0" distL="114300" distR="114300" simplePos="0" relativeHeight="251683840" behindDoc="0" locked="0" layoutInCell="1" allowOverlap="1" wp14:anchorId="0AF70E01" wp14:editId="5A24A412">
          <wp:simplePos x="0" y="0"/>
          <wp:positionH relativeFrom="margin">
            <wp:posOffset>3124200</wp:posOffset>
          </wp:positionH>
          <wp:positionV relativeFrom="paragraph">
            <wp:posOffset>-197485</wp:posOffset>
          </wp:positionV>
          <wp:extent cx="1524635" cy="701675"/>
          <wp:effectExtent l="0" t="0" r="0" b="3175"/>
          <wp:wrapNone/>
          <wp:docPr id="12" name="Afbeelding 12" descr="Leefmilieu Bru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fmilieu Bruss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77E">
      <w:drawing>
        <wp:anchor distT="0" distB="0" distL="114300" distR="114300" simplePos="0" relativeHeight="251684864" behindDoc="0" locked="0" layoutInCell="1" allowOverlap="1" wp14:anchorId="4C85C3F2" wp14:editId="60593A76">
          <wp:simplePos x="0" y="0"/>
          <wp:positionH relativeFrom="margin">
            <wp:posOffset>4876165</wp:posOffset>
          </wp:positionH>
          <wp:positionV relativeFrom="paragraph">
            <wp:posOffset>-45085</wp:posOffset>
          </wp:positionV>
          <wp:extent cx="1430618" cy="349543"/>
          <wp:effectExtent l="0" t="0" r="0" b="0"/>
          <wp:wrapNone/>
          <wp:docPr id="13" name="Afbeelding 13" descr="Onze logo's | perspective.bruss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nze logo's | perspective.brusse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18" cy="34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881D7" w14:textId="5EA7EBCD" w:rsidR="006A7C85" w:rsidRPr="00AE1D74" w:rsidRDefault="00342ADA" w:rsidP="00D9377E">
    <w:pPr>
      <w:pStyle w:val="Voettekst"/>
      <w:tabs>
        <w:tab w:val="clear" w:pos="9923"/>
        <w:tab w:val="left" w:pos="8960"/>
      </w:tabs>
    </w:pPr>
    <w:r w:rsidRPr="00AE1D74">
      <w:tab/>
    </w:r>
    <w:r w:rsidR="00D9377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515B1" w14:textId="77777777" w:rsidR="00420311" w:rsidRDefault="00420311">
      <w:r>
        <w:separator/>
      </w:r>
    </w:p>
  </w:footnote>
  <w:footnote w:type="continuationSeparator" w:id="0">
    <w:p w14:paraId="7896DE89" w14:textId="77777777" w:rsidR="00420311" w:rsidRDefault="00420311" w:rsidP="00F11703">
      <w:pPr>
        <w:spacing w:line="240" w:lineRule="auto"/>
      </w:pPr>
      <w:r>
        <w:continuationSeparator/>
      </w:r>
    </w:p>
    <w:p w14:paraId="4EE4352A" w14:textId="77777777" w:rsidR="00420311" w:rsidRDefault="00420311"/>
  </w:footnote>
  <w:footnote w:id="1">
    <w:p w14:paraId="0A74E9E7" w14:textId="25243A16" w:rsidR="00AC2E21" w:rsidRDefault="00AC2E21">
      <w:pPr>
        <w:pStyle w:val="Voetnoottekst"/>
      </w:pPr>
      <w:r>
        <w:rPr>
          <w:rStyle w:val="Voetnootmarkering"/>
        </w:rPr>
        <w:footnoteRef/>
      </w:r>
      <w:r>
        <w:t xml:space="preserve"> A compléter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C2B85" w14:textId="77777777" w:rsidR="00024710" w:rsidRDefault="00024710" w:rsidP="00024710">
    <w:pPr>
      <w:pStyle w:val="Koptekst"/>
      <w:jc w:val="right"/>
    </w:pPr>
    <w:r>
      <w:t>OPEN BRUSSELS centrale de marchés</w:t>
    </w:r>
    <w:sdt>
      <w:sdtPr>
        <w:id w:val="-37512598"/>
        <w:showingPlcHdr/>
      </w:sdtPr>
      <w:sdtEndPr>
        <w:rPr>
          <w:rStyle w:val="KoptekstChar"/>
        </w:rPr>
      </w:sdtEndPr>
      <w:sdtContent>
        <w:r>
          <w:t xml:space="preserve">     </w:t>
        </w:r>
      </w:sdtContent>
    </w:sdt>
    <w:r>
      <w:rPr>
        <w:rStyle w:val="KoptekstChar"/>
      </w:rPr>
      <w:t>/ formulaire de demande</w:t>
    </w:r>
  </w:p>
  <w:p w14:paraId="2AB831C4" w14:textId="7AB13018" w:rsidR="00AE1D74" w:rsidRDefault="00AE1D74" w:rsidP="00AE1D74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E812" w14:textId="5BF17BEE" w:rsidR="00D9377E" w:rsidRDefault="00D9377E" w:rsidP="00D9377E">
    <w:pPr>
      <w:pStyle w:val="Koptekst"/>
      <w:jc w:val="right"/>
    </w:pPr>
    <w:r>
      <w:t xml:space="preserve">OPEN BRUSSELS </w:t>
    </w:r>
    <w:r w:rsidR="00024710">
      <w:t xml:space="preserve">centrale de </w:t>
    </w:r>
    <w:r>
      <w:t>marché</w:t>
    </w:r>
    <w:r w:rsidR="00024710">
      <w:t>s</w:t>
    </w:r>
    <w:sdt>
      <w:sdtPr>
        <w:id w:val="-475369850"/>
        <w:showingPlcHdr/>
      </w:sdtPr>
      <w:sdtEndPr>
        <w:rPr>
          <w:rStyle w:val="KoptekstChar"/>
        </w:rPr>
      </w:sdtEndPr>
      <w:sdtContent>
        <w:r>
          <w:t xml:space="preserve">     </w:t>
        </w:r>
      </w:sdtContent>
    </w:sdt>
    <w:r>
      <w:rPr>
        <w:rStyle w:val="KoptekstChar"/>
      </w:rPr>
      <w:t>/ formulaire de demande</w:t>
    </w:r>
  </w:p>
  <w:p w14:paraId="49879402" w14:textId="77777777" w:rsidR="00D9377E" w:rsidRDefault="00D9377E" w:rsidP="00D9377E">
    <w:pPr>
      <w:pStyle w:val="Koptekst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ADFE" w14:textId="77777777" w:rsidR="00024710" w:rsidRDefault="00024710" w:rsidP="00024710">
    <w:pPr>
      <w:pStyle w:val="Koptekst"/>
      <w:jc w:val="right"/>
    </w:pPr>
    <w:r>
      <w:t>OPEN BRUSSELS centrale de marchés</w:t>
    </w:r>
    <w:sdt>
      <w:sdtPr>
        <w:id w:val="-778178596"/>
        <w:showingPlcHdr/>
      </w:sdtPr>
      <w:sdtEndPr>
        <w:rPr>
          <w:rStyle w:val="KoptekstChar"/>
        </w:rPr>
      </w:sdtEndPr>
      <w:sdtContent>
        <w:r>
          <w:t xml:space="preserve">     </w:t>
        </w:r>
      </w:sdtContent>
    </w:sdt>
    <w:r>
      <w:rPr>
        <w:rStyle w:val="KoptekstChar"/>
      </w:rPr>
      <w:t>/ formulaire de demande</w:t>
    </w:r>
  </w:p>
  <w:p w14:paraId="14E1A38E" w14:textId="57FE0695" w:rsidR="00141C18" w:rsidRPr="0049605C" w:rsidRDefault="00141C18" w:rsidP="00024710">
    <w:pPr>
      <w:pStyle w:val="HeaderenFooterpagina1"/>
      <w:tabs>
        <w:tab w:val="right" w:pos="9921"/>
      </w:tabs>
      <w:spacing w:after="600"/>
      <w:rPr>
        <w:rStyle w:val="KoptekstCh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B26"/>
    <w:multiLevelType w:val="hybridMultilevel"/>
    <w:tmpl w:val="0CB259FC"/>
    <w:lvl w:ilvl="0" w:tplc="CB16AF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CF0ED8"/>
    <w:multiLevelType w:val="hybridMultilevel"/>
    <w:tmpl w:val="D9CA99D4"/>
    <w:lvl w:ilvl="0" w:tplc="C4E4FAB6">
      <w:numFmt w:val="bullet"/>
      <w:lvlText w:val="-"/>
      <w:lvlJc w:val="left"/>
      <w:pPr>
        <w:ind w:left="720" w:hanging="360"/>
      </w:pPr>
      <w:rPr>
        <w:rFonts w:ascii="FlandersArtSerif-Regular" w:eastAsia="Times New Roman" w:hAnsi="FlandersArtSerif-Regular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E81E72D4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75F0"/>
    <w:multiLevelType w:val="hybridMultilevel"/>
    <w:tmpl w:val="D0F62482"/>
    <w:lvl w:ilvl="0" w:tplc="F920D0B2">
      <w:start w:val="1"/>
      <w:numFmt w:val="bullet"/>
      <w:lvlText w:val="-"/>
      <w:lvlJc w:val="left"/>
      <w:pPr>
        <w:ind w:left="720" w:hanging="360"/>
      </w:pPr>
      <w:rPr>
        <w:rFonts w:ascii="FlandersArtSerif-Regular" w:eastAsia="Times New Roman" w:hAnsi="FlandersArtSerif-Regular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7B62"/>
    <w:multiLevelType w:val="hybridMultilevel"/>
    <w:tmpl w:val="D0E21C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B6CF9"/>
    <w:multiLevelType w:val="hybridMultilevel"/>
    <w:tmpl w:val="012416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12F61"/>
    <w:multiLevelType w:val="hybridMultilevel"/>
    <w:tmpl w:val="AECE8C0A"/>
    <w:lvl w:ilvl="0" w:tplc="EB582DE4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A885161"/>
    <w:multiLevelType w:val="hybridMultilevel"/>
    <w:tmpl w:val="282EBF7C"/>
    <w:lvl w:ilvl="0" w:tplc="12220E72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C647F78"/>
    <w:multiLevelType w:val="hybridMultilevel"/>
    <w:tmpl w:val="11EC000A"/>
    <w:lvl w:ilvl="0" w:tplc="70D28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D5CF8D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A310AEE"/>
    <w:multiLevelType w:val="hybridMultilevel"/>
    <w:tmpl w:val="A252CD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1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17"/>
  </w:num>
  <w:num w:numId="15">
    <w:abstractNumId w:val="6"/>
  </w:num>
  <w:num w:numId="16">
    <w:abstractNumId w:val="3"/>
  </w:num>
  <w:num w:numId="17">
    <w:abstractNumId w:val="14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8"/>
    <w:rsid w:val="0000298C"/>
    <w:rsid w:val="000078AC"/>
    <w:rsid w:val="00013B64"/>
    <w:rsid w:val="00016A9C"/>
    <w:rsid w:val="00020494"/>
    <w:rsid w:val="00024710"/>
    <w:rsid w:val="00041CA1"/>
    <w:rsid w:val="00042A43"/>
    <w:rsid w:val="00061EB8"/>
    <w:rsid w:val="000703EE"/>
    <w:rsid w:val="000752C9"/>
    <w:rsid w:val="000905DC"/>
    <w:rsid w:val="000933E6"/>
    <w:rsid w:val="00095BBD"/>
    <w:rsid w:val="000A3D30"/>
    <w:rsid w:val="000A7286"/>
    <w:rsid w:val="000D0407"/>
    <w:rsid w:val="000D128C"/>
    <w:rsid w:val="000E6A50"/>
    <w:rsid w:val="000E6DBB"/>
    <w:rsid w:val="000F321E"/>
    <w:rsid w:val="000F7F1D"/>
    <w:rsid w:val="00101D2B"/>
    <w:rsid w:val="001053C6"/>
    <w:rsid w:val="00117EA8"/>
    <w:rsid w:val="00122E00"/>
    <w:rsid w:val="0013336D"/>
    <w:rsid w:val="00137794"/>
    <w:rsid w:val="00137F73"/>
    <w:rsid w:val="001400A9"/>
    <w:rsid w:val="00141C18"/>
    <w:rsid w:val="001422F6"/>
    <w:rsid w:val="00150622"/>
    <w:rsid w:val="00150B4B"/>
    <w:rsid w:val="001619D7"/>
    <w:rsid w:val="0016297B"/>
    <w:rsid w:val="001713C5"/>
    <w:rsid w:val="0017683B"/>
    <w:rsid w:val="001823A9"/>
    <w:rsid w:val="00195046"/>
    <w:rsid w:val="001A2F08"/>
    <w:rsid w:val="001A306F"/>
    <w:rsid w:val="001A3D96"/>
    <w:rsid w:val="001A51D9"/>
    <w:rsid w:val="001B62E4"/>
    <w:rsid w:val="001C0CB9"/>
    <w:rsid w:val="001C1358"/>
    <w:rsid w:val="001C53DE"/>
    <w:rsid w:val="001C6715"/>
    <w:rsid w:val="001D42A5"/>
    <w:rsid w:val="001D4CD5"/>
    <w:rsid w:val="001D6BEE"/>
    <w:rsid w:val="001E7473"/>
    <w:rsid w:val="001F0AEE"/>
    <w:rsid w:val="001F1E85"/>
    <w:rsid w:val="001F36A2"/>
    <w:rsid w:val="001F569E"/>
    <w:rsid w:val="002057D6"/>
    <w:rsid w:val="00207498"/>
    <w:rsid w:val="00211AA3"/>
    <w:rsid w:val="00221A5D"/>
    <w:rsid w:val="0022542F"/>
    <w:rsid w:val="00225E25"/>
    <w:rsid w:val="00226F27"/>
    <w:rsid w:val="00240509"/>
    <w:rsid w:val="002420A5"/>
    <w:rsid w:val="00246B94"/>
    <w:rsid w:val="00246CDC"/>
    <w:rsid w:val="00246F4E"/>
    <w:rsid w:val="002547BC"/>
    <w:rsid w:val="0025648B"/>
    <w:rsid w:val="00260C50"/>
    <w:rsid w:val="002645BC"/>
    <w:rsid w:val="002727B2"/>
    <w:rsid w:val="00275ECD"/>
    <w:rsid w:val="00276AA8"/>
    <w:rsid w:val="002775C2"/>
    <w:rsid w:val="00284846"/>
    <w:rsid w:val="00285C0E"/>
    <w:rsid w:val="00286B11"/>
    <w:rsid w:val="00292607"/>
    <w:rsid w:val="002A00C2"/>
    <w:rsid w:val="002A2319"/>
    <w:rsid w:val="002B4FD8"/>
    <w:rsid w:val="002C5A83"/>
    <w:rsid w:val="002D0544"/>
    <w:rsid w:val="002D1965"/>
    <w:rsid w:val="002D6A47"/>
    <w:rsid w:val="002F245B"/>
    <w:rsid w:val="002F5CE1"/>
    <w:rsid w:val="002F7A16"/>
    <w:rsid w:val="00305917"/>
    <w:rsid w:val="003103C9"/>
    <w:rsid w:val="00313385"/>
    <w:rsid w:val="003149BF"/>
    <w:rsid w:val="003149F8"/>
    <w:rsid w:val="00321032"/>
    <w:rsid w:val="0032153C"/>
    <w:rsid w:val="003261F4"/>
    <w:rsid w:val="00333F85"/>
    <w:rsid w:val="0033419B"/>
    <w:rsid w:val="00336226"/>
    <w:rsid w:val="00342ADA"/>
    <w:rsid w:val="0034443A"/>
    <w:rsid w:val="00350BE4"/>
    <w:rsid w:val="0035574D"/>
    <w:rsid w:val="003562F8"/>
    <w:rsid w:val="0036078E"/>
    <w:rsid w:val="00361F03"/>
    <w:rsid w:val="00370899"/>
    <w:rsid w:val="00376339"/>
    <w:rsid w:val="0038213D"/>
    <w:rsid w:val="003841E9"/>
    <w:rsid w:val="003846B7"/>
    <w:rsid w:val="003A1330"/>
    <w:rsid w:val="003A7844"/>
    <w:rsid w:val="003B32D4"/>
    <w:rsid w:val="003B6DA6"/>
    <w:rsid w:val="003B7084"/>
    <w:rsid w:val="003B7F04"/>
    <w:rsid w:val="003C62A2"/>
    <w:rsid w:val="003D6427"/>
    <w:rsid w:val="003E3B8C"/>
    <w:rsid w:val="004144C0"/>
    <w:rsid w:val="0041487C"/>
    <w:rsid w:val="00415B33"/>
    <w:rsid w:val="00420311"/>
    <w:rsid w:val="004208D0"/>
    <w:rsid w:val="00422EB7"/>
    <w:rsid w:val="00424666"/>
    <w:rsid w:val="00434C7B"/>
    <w:rsid w:val="00442617"/>
    <w:rsid w:val="00443225"/>
    <w:rsid w:val="00444C33"/>
    <w:rsid w:val="00445558"/>
    <w:rsid w:val="00446894"/>
    <w:rsid w:val="004507F9"/>
    <w:rsid w:val="00451D6D"/>
    <w:rsid w:val="00463FFD"/>
    <w:rsid w:val="00464A3D"/>
    <w:rsid w:val="004674FC"/>
    <w:rsid w:val="00467D58"/>
    <w:rsid w:val="00474F18"/>
    <w:rsid w:val="00484A95"/>
    <w:rsid w:val="00490796"/>
    <w:rsid w:val="0049605C"/>
    <w:rsid w:val="004965B9"/>
    <w:rsid w:val="004979A7"/>
    <w:rsid w:val="004A537C"/>
    <w:rsid w:val="004A5F0A"/>
    <w:rsid w:val="004B1281"/>
    <w:rsid w:val="004B35AB"/>
    <w:rsid w:val="004B67AB"/>
    <w:rsid w:val="004C1D8C"/>
    <w:rsid w:val="004C268C"/>
    <w:rsid w:val="004C6D48"/>
    <w:rsid w:val="004E2D01"/>
    <w:rsid w:val="004E4011"/>
    <w:rsid w:val="004E4BCC"/>
    <w:rsid w:val="004E6877"/>
    <w:rsid w:val="004F0DCF"/>
    <w:rsid w:val="004F0F04"/>
    <w:rsid w:val="004F542D"/>
    <w:rsid w:val="004F7276"/>
    <w:rsid w:val="005134C7"/>
    <w:rsid w:val="005220F0"/>
    <w:rsid w:val="0053114A"/>
    <w:rsid w:val="00534EA4"/>
    <w:rsid w:val="00536E3A"/>
    <w:rsid w:val="005414F8"/>
    <w:rsid w:val="005440D6"/>
    <w:rsid w:val="0054417F"/>
    <w:rsid w:val="0054466A"/>
    <w:rsid w:val="00550352"/>
    <w:rsid w:val="005562F5"/>
    <w:rsid w:val="00560592"/>
    <w:rsid w:val="0056161C"/>
    <w:rsid w:val="00574AB6"/>
    <w:rsid w:val="005754AB"/>
    <w:rsid w:val="005771C2"/>
    <w:rsid w:val="00582C2B"/>
    <w:rsid w:val="00584D83"/>
    <w:rsid w:val="005921F6"/>
    <w:rsid w:val="00594215"/>
    <w:rsid w:val="0059596C"/>
    <w:rsid w:val="005A6838"/>
    <w:rsid w:val="005B1E14"/>
    <w:rsid w:val="005B6891"/>
    <w:rsid w:val="005C0CD8"/>
    <w:rsid w:val="005C16AF"/>
    <w:rsid w:val="005C6C78"/>
    <w:rsid w:val="005D38E4"/>
    <w:rsid w:val="005D765B"/>
    <w:rsid w:val="005E18B5"/>
    <w:rsid w:val="005E41B5"/>
    <w:rsid w:val="005E7ACF"/>
    <w:rsid w:val="005F4649"/>
    <w:rsid w:val="005F552D"/>
    <w:rsid w:val="005F6354"/>
    <w:rsid w:val="005F63AB"/>
    <w:rsid w:val="005F7390"/>
    <w:rsid w:val="0060521D"/>
    <w:rsid w:val="006105AE"/>
    <w:rsid w:val="00614091"/>
    <w:rsid w:val="00616562"/>
    <w:rsid w:val="006248C3"/>
    <w:rsid w:val="00626BD4"/>
    <w:rsid w:val="00627B44"/>
    <w:rsid w:val="00635A29"/>
    <w:rsid w:val="00646E71"/>
    <w:rsid w:val="006526E3"/>
    <w:rsid w:val="006532AC"/>
    <w:rsid w:val="00664EBA"/>
    <w:rsid w:val="00674118"/>
    <w:rsid w:val="00676435"/>
    <w:rsid w:val="00677D55"/>
    <w:rsid w:val="00680E28"/>
    <w:rsid w:val="006952BA"/>
    <w:rsid w:val="006A3491"/>
    <w:rsid w:val="006A7C85"/>
    <w:rsid w:val="006B7B4B"/>
    <w:rsid w:val="006C6D9C"/>
    <w:rsid w:val="006D1FB3"/>
    <w:rsid w:val="006D35BB"/>
    <w:rsid w:val="006D51B7"/>
    <w:rsid w:val="006E2FBF"/>
    <w:rsid w:val="006E7367"/>
    <w:rsid w:val="006F2924"/>
    <w:rsid w:val="006F30E0"/>
    <w:rsid w:val="006F344D"/>
    <w:rsid w:val="006F522F"/>
    <w:rsid w:val="007010A3"/>
    <w:rsid w:val="00714BED"/>
    <w:rsid w:val="0071761D"/>
    <w:rsid w:val="007203AB"/>
    <w:rsid w:val="0072279E"/>
    <w:rsid w:val="00722AC7"/>
    <w:rsid w:val="007350CF"/>
    <w:rsid w:val="0076464F"/>
    <w:rsid w:val="00772274"/>
    <w:rsid w:val="00784980"/>
    <w:rsid w:val="00790F02"/>
    <w:rsid w:val="00791836"/>
    <w:rsid w:val="007A00CB"/>
    <w:rsid w:val="007A33BD"/>
    <w:rsid w:val="007A3CAC"/>
    <w:rsid w:val="007C280E"/>
    <w:rsid w:val="007D487E"/>
    <w:rsid w:val="007D627C"/>
    <w:rsid w:val="007E0922"/>
    <w:rsid w:val="007E3152"/>
    <w:rsid w:val="007E3904"/>
    <w:rsid w:val="007E5EB6"/>
    <w:rsid w:val="00800DDC"/>
    <w:rsid w:val="00802A0B"/>
    <w:rsid w:val="0080523E"/>
    <w:rsid w:val="00813BBA"/>
    <w:rsid w:val="00820DDF"/>
    <w:rsid w:val="00822071"/>
    <w:rsid w:val="00840E4D"/>
    <w:rsid w:val="008414E8"/>
    <w:rsid w:val="008420F6"/>
    <w:rsid w:val="00853B34"/>
    <w:rsid w:val="00853D0C"/>
    <w:rsid w:val="00855643"/>
    <w:rsid w:val="00855AF6"/>
    <w:rsid w:val="00860075"/>
    <w:rsid w:val="008653B9"/>
    <w:rsid w:val="008859A1"/>
    <w:rsid w:val="00887720"/>
    <w:rsid w:val="00893704"/>
    <w:rsid w:val="00894909"/>
    <w:rsid w:val="0089768F"/>
    <w:rsid w:val="008A0CEB"/>
    <w:rsid w:val="008B1D5F"/>
    <w:rsid w:val="008B3240"/>
    <w:rsid w:val="008B32F3"/>
    <w:rsid w:val="008B6DF7"/>
    <w:rsid w:val="008C172E"/>
    <w:rsid w:val="008D4356"/>
    <w:rsid w:val="008D7CDA"/>
    <w:rsid w:val="008E04F0"/>
    <w:rsid w:val="008E6723"/>
    <w:rsid w:val="008F743E"/>
    <w:rsid w:val="00900848"/>
    <w:rsid w:val="00903822"/>
    <w:rsid w:val="00906BBD"/>
    <w:rsid w:val="00916630"/>
    <w:rsid w:val="0092421D"/>
    <w:rsid w:val="00924A47"/>
    <w:rsid w:val="00932353"/>
    <w:rsid w:val="00935F13"/>
    <w:rsid w:val="0094367F"/>
    <w:rsid w:val="00945756"/>
    <w:rsid w:val="00945E42"/>
    <w:rsid w:val="0095057F"/>
    <w:rsid w:val="00951FC0"/>
    <w:rsid w:val="009610D1"/>
    <w:rsid w:val="00976995"/>
    <w:rsid w:val="00982905"/>
    <w:rsid w:val="0098458C"/>
    <w:rsid w:val="00986427"/>
    <w:rsid w:val="009947CC"/>
    <w:rsid w:val="009A1B1F"/>
    <w:rsid w:val="009B2368"/>
    <w:rsid w:val="009B7279"/>
    <w:rsid w:val="009B77F4"/>
    <w:rsid w:val="009C4C86"/>
    <w:rsid w:val="009D3024"/>
    <w:rsid w:val="009D47BF"/>
    <w:rsid w:val="009E34CB"/>
    <w:rsid w:val="009E4724"/>
    <w:rsid w:val="009E4F33"/>
    <w:rsid w:val="009E647F"/>
    <w:rsid w:val="009F2BBA"/>
    <w:rsid w:val="009F63C0"/>
    <w:rsid w:val="00A01E27"/>
    <w:rsid w:val="00A03A0D"/>
    <w:rsid w:val="00A03B63"/>
    <w:rsid w:val="00A234AD"/>
    <w:rsid w:val="00A31529"/>
    <w:rsid w:val="00A32642"/>
    <w:rsid w:val="00A47E0E"/>
    <w:rsid w:val="00A508EC"/>
    <w:rsid w:val="00A52DA0"/>
    <w:rsid w:val="00A5641B"/>
    <w:rsid w:val="00A63027"/>
    <w:rsid w:val="00A6545E"/>
    <w:rsid w:val="00A857FF"/>
    <w:rsid w:val="00A86FFE"/>
    <w:rsid w:val="00AA234E"/>
    <w:rsid w:val="00AB2003"/>
    <w:rsid w:val="00AB4FF5"/>
    <w:rsid w:val="00AB51C4"/>
    <w:rsid w:val="00AB661D"/>
    <w:rsid w:val="00AC2E21"/>
    <w:rsid w:val="00AC7FAF"/>
    <w:rsid w:val="00AD609A"/>
    <w:rsid w:val="00AE1D74"/>
    <w:rsid w:val="00AE2BD8"/>
    <w:rsid w:val="00AE6DE7"/>
    <w:rsid w:val="00AE7E8F"/>
    <w:rsid w:val="00AF0016"/>
    <w:rsid w:val="00AF0A1D"/>
    <w:rsid w:val="00AF4E63"/>
    <w:rsid w:val="00AF7336"/>
    <w:rsid w:val="00B00B6B"/>
    <w:rsid w:val="00B056AB"/>
    <w:rsid w:val="00B07339"/>
    <w:rsid w:val="00B149B1"/>
    <w:rsid w:val="00B23D1D"/>
    <w:rsid w:val="00B31892"/>
    <w:rsid w:val="00B638E7"/>
    <w:rsid w:val="00B64D5B"/>
    <w:rsid w:val="00B75ED3"/>
    <w:rsid w:val="00B7698E"/>
    <w:rsid w:val="00B77256"/>
    <w:rsid w:val="00B77C3D"/>
    <w:rsid w:val="00B807C5"/>
    <w:rsid w:val="00B83B8E"/>
    <w:rsid w:val="00BB1A63"/>
    <w:rsid w:val="00BB320C"/>
    <w:rsid w:val="00BC6EA6"/>
    <w:rsid w:val="00BD166F"/>
    <w:rsid w:val="00BD7B93"/>
    <w:rsid w:val="00BE5EFE"/>
    <w:rsid w:val="00BF19FD"/>
    <w:rsid w:val="00BF3011"/>
    <w:rsid w:val="00BF79E7"/>
    <w:rsid w:val="00C0052E"/>
    <w:rsid w:val="00C038F1"/>
    <w:rsid w:val="00C06055"/>
    <w:rsid w:val="00C1093D"/>
    <w:rsid w:val="00C11ABF"/>
    <w:rsid w:val="00C13707"/>
    <w:rsid w:val="00C13980"/>
    <w:rsid w:val="00C15EC8"/>
    <w:rsid w:val="00C16594"/>
    <w:rsid w:val="00C235D6"/>
    <w:rsid w:val="00C40350"/>
    <w:rsid w:val="00C4083B"/>
    <w:rsid w:val="00C42336"/>
    <w:rsid w:val="00C42A72"/>
    <w:rsid w:val="00C53120"/>
    <w:rsid w:val="00C5656B"/>
    <w:rsid w:val="00C632BA"/>
    <w:rsid w:val="00C64F3E"/>
    <w:rsid w:val="00C65804"/>
    <w:rsid w:val="00C70BA0"/>
    <w:rsid w:val="00C75C88"/>
    <w:rsid w:val="00C75F61"/>
    <w:rsid w:val="00CA009C"/>
    <w:rsid w:val="00CA1F8C"/>
    <w:rsid w:val="00CA2B6B"/>
    <w:rsid w:val="00CA77C4"/>
    <w:rsid w:val="00CC6D13"/>
    <w:rsid w:val="00CD00DF"/>
    <w:rsid w:val="00CD4F55"/>
    <w:rsid w:val="00CE0B75"/>
    <w:rsid w:val="00CE4818"/>
    <w:rsid w:val="00CE5170"/>
    <w:rsid w:val="00CE6A99"/>
    <w:rsid w:val="00CE6BB9"/>
    <w:rsid w:val="00CF0A37"/>
    <w:rsid w:val="00CF31CA"/>
    <w:rsid w:val="00CF559C"/>
    <w:rsid w:val="00CF6B96"/>
    <w:rsid w:val="00CF772E"/>
    <w:rsid w:val="00CF7A0C"/>
    <w:rsid w:val="00D0421E"/>
    <w:rsid w:val="00D04BC0"/>
    <w:rsid w:val="00D0652A"/>
    <w:rsid w:val="00D1241B"/>
    <w:rsid w:val="00D14457"/>
    <w:rsid w:val="00D16E57"/>
    <w:rsid w:val="00D27DE7"/>
    <w:rsid w:val="00D36ECA"/>
    <w:rsid w:val="00D37AD5"/>
    <w:rsid w:val="00D5071A"/>
    <w:rsid w:val="00D526B3"/>
    <w:rsid w:val="00D5367A"/>
    <w:rsid w:val="00D81B07"/>
    <w:rsid w:val="00D91C2B"/>
    <w:rsid w:val="00D9377E"/>
    <w:rsid w:val="00DA4FC6"/>
    <w:rsid w:val="00DA7022"/>
    <w:rsid w:val="00DB03FD"/>
    <w:rsid w:val="00DB3652"/>
    <w:rsid w:val="00DB3BF3"/>
    <w:rsid w:val="00DB6C80"/>
    <w:rsid w:val="00DC3053"/>
    <w:rsid w:val="00DD2F3F"/>
    <w:rsid w:val="00DD2FCD"/>
    <w:rsid w:val="00DD3801"/>
    <w:rsid w:val="00DD67BA"/>
    <w:rsid w:val="00DD7B8D"/>
    <w:rsid w:val="00DE4E38"/>
    <w:rsid w:val="00DE6C7A"/>
    <w:rsid w:val="00DF017D"/>
    <w:rsid w:val="00DF06CF"/>
    <w:rsid w:val="00DF5E02"/>
    <w:rsid w:val="00DF65FC"/>
    <w:rsid w:val="00E07543"/>
    <w:rsid w:val="00E136BB"/>
    <w:rsid w:val="00E22BD2"/>
    <w:rsid w:val="00E25E16"/>
    <w:rsid w:val="00E27379"/>
    <w:rsid w:val="00E41095"/>
    <w:rsid w:val="00E524DB"/>
    <w:rsid w:val="00E56EDA"/>
    <w:rsid w:val="00E67ABE"/>
    <w:rsid w:val="00E76F21"/>
    <w:rsid w:val="00E862A4"/>
    <w:rsid w:val="00E90918"/>
    <w:rsid w:val="00EA20E9"/>
    <w:rsid w:val="00EB00EC"/>
    <w:rsid w:val="00EB3333"/>
    <w:rsid w:val="00EB3C5D"/>
    <w:rsid w:val="00EB3E48"/>
    <w:rsid w:val="00EC3104"/>
    <w:rsid w:val="00EC35D0"/>
    <w:rsid w:val="00EC680D"/>
    <w:rsid w:val="00ED3BC5"/>
    <w:rsid w:val="00EE09B9"/>
    <w:rsid w:val="00EE4864"/>
    <w:rsid w:val="00EE73A3"/>
    <w:rsid w:val="00EF60BB"/>
    <w:rsid w:val="00F11703"/>
    <w:rsid w:val="00F140A6"/>
    <w:rsid w:val="00F14808"/>
    <w:rsid w:val="00F20417"/>
    <w:rsid w:val="00F20874"/>
    <w:rsid w:val="00F22A3C"/>
    <w:rsid w:val="00F3447D"/>
    <w:rsid w:val="00F4222F"/>
    <w:rsid w:val="00F45892"/>
    <w:rsid w:val="00F45E7F"/>
    <w:rsid w:val="00F53239"/>
    <w:rsid w:val="00F6009E"/>
    <w:rsid w:val="00F6173A"/>
    <w:rsid w:val="00F65B65"/>
    <w:rsid w:val="00F71C6B"/>
    <w:rsid w:val="00F72C34"/>
    <w:rsid w:val="00F80AE0"/>
    <w:rsid w:val="00F811C4"/>
    <w:rsid w:val="00F85D0F"/>
    <w:rsid w:val="00FB382E"/>
    <w:rsid w:val="00FB4E28"/>
    <w:rsid w:val="00FB7470"/>
    <w:rsid w:val="00FD00A4"/>
    <w:rsid w:val="00FD2612"/>
    <w:rsid w:val="00FD730D"/>
    <w:rsid w:val="00FE1298"/>
    <w:rsid w:val="00FE569F"/>
    <w:rsid w:val="00FE7B8B"/>
    <w:rsid w:val="00FF15EB"/>
    <w:rsid w:val="00FF3756"/>
    <w:rsid w:val="00FF3C62"/>
    <w:rsid w:val="00FF3F4D"/>
    <w:rsid w:val="00FF55E6"/>
    <w:rsid w:val="00FF5BB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1FF6A2F4"/>
  <w15:docId w15:val="{4B072083-275A-483A-B69C-42E1F1A2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38F1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</w:rPr>
  </w:style>
  <w:style w:type="paragraph" w:styleId="Kop1">
    <w:name w:val="heading 1"/>
    <w:basedOn w:val="Standaard"/>
    <w:next w:val="Standaard"/>
    <w:link w:val="Kop1Char"/>
    <w:uiPriority w:val="9"/>
    <w:qFormat/>
    <w:rsid w:val="00855AF6"/>
    <w:pPr>
      <w:keepNext/>
      <w:keepLines/>
      <w:numPr>
        <w:numId w:val="2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38F1"/>
    <w:pPr>
      <w:keepNext/>
      <w:keepLines/>
      <w:numPr>
        <w:ilvl w:val="1"/>
        <w:numId w:val="2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55AF6"/>
    <w:pPr>
      <w:keepNext/>
      <w:keepLines/>
      <w:numPr>
        <w:ilvl w:val="2"/>
        <w:numId w:val="2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55AF6"/>
    <w:pPr>
      <w:keepNext/>
      <w:keepLines/>
      <w:numPr>
        <w:ilvl w:val="3"/>
        <w:numId w:val="2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C038F1"/>
    <w:pPr>
      <w:keepNext/>
      <w:keepLines/>
      <w:numPr>
        <w:ilvl w:val="4"/>
        <w:numId w:val="2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C038F1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C038F1"/>
    <w:pPr>
      <w:keepNext/>
      <w:keepLines/>
      <w:numPr>
        <w:ilvl w:val="6"/>
        <w:numId w:val="2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C038F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C038F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3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C038F1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1761D"/>
    <w:rPr>
      <w:rFonts w:ascii="FlandersArtSerif-Regular" w:hAnsi="FlandersArtSerif-Regular"/>
      <w:noProof/>
      <w:sz w:val="32"/>
      <w:szCs w:val="32"/>
      <w:lang w:val="fr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C038F1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1761D"/>
    <w:rPr>
      <w:rFonts w:ascii="FlandersArtSerif-Regular" w:hAnsi="FlandersArtSerif-Regular"/>
      <w:sz w:val="16"/>
      <w:lang w:val="fr-BE"/>
    </w:rPr>
  </w:style>
  <w:style w:type="character" w:styleId="Tekstvantijdelijkeaanduiding">
    <w:name w:val="Placeholder Text"/>
    <w:basedOn w:val="Standaardalinea-lettertype"/>
    <w:uiPriority w:val="99"/>
    <w:semiHidden/>
    <w:rsid w:val="00C038F1"/>
    <w:rPr>
      <w:color w:val="808080"/>
    </w:rPr>
  </w:style>
  <w:style w:type="table" w:styleId="Tabelraster">
    <w:name w:val="Table Grid"/>
    <w:basedOn w:val="Standaardtabel"/>
    <w:uiPriority w:val="59"/>
    <w:rsid w:val="00C0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C038F1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C038F1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C038F1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761D"/>
    <w:rPr>
      <w:rFonts w:ascii="FlandersArtSerif-Bold" w:hAnsi="FlandersArtSerif-Bold"/>
      <w:sz w:val="52"/>
      <w:szCs w:val="30"/>
      <w:lang w:val="fr-BE"/>
    </w:rPr>
  </w:style>
  <w:style w:type="table" w:styleId="Gemiddeldraster3-accent1">
    <w:name w:val="Medium Grid 3 Accent 1"/>
    <w:basedOn w:val="Standaardtabel"/>
    <w:uiPriority w:val="69"/>
    <w:rsid w:val="00C038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C038F1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855AF6"/>
    <w:rPr>
      <w:rFonts w:ascii="FlandersArtSans-Bold" w:hAnsi="FlandersArtSans-Bold"/>
      <w:color w:val="auto"/>
      <w:sz w:val="24"/>
      <w:szCs w:val="24"/>
      <w:lang w:val="fr-BE"/>
    </w:rPr>
  </w:style>
  <w:style w:type="paragraph" w:styleId="Titel">
    <w:name w:val="Title"/>
    <w:basedOn w:val="Standaard"/>
    <w:next w:val="Standaard"/>
    <w:link w:val="TitelChar"/>
    <w:uiPriority w:val="10"/>
    <w:rsid w:val="00C038F1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1761D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855AF6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fr-BE"/>
    </w:rPr>
  </w:style>
  <w:style w:type="paragraph" w:styleId="Kopvaninhoudsopgave">
    <w:name w:val="TOC Heading"/>
    <w:basedOn w:val="Standaard"/>
    <w:next w:val="Standaard"/>
    <w:uiPriority w:val="39"/>
    <w:unhideWhenUsed/>
    <w:rsid w:val="008859A1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fr-BE"/>
    </w:rPr>
  </w:style>
  <w:style w:type="character" w:customStyle="1" w:styleId="Kop3Char">
    <w:name w:val="Kop 3 Char"/>
    <w:basedOn w:val="Standaardalinea-lettertype"/>
    <w:link w:val="Kop3"/>
    <w:uiPriority w:val="9"/>
    <w:rsid w:val="00855AF6"/>
    <w:rPr>
      <w:rFonts w:ascii="FlandersArtSerif-Bold" w:eastAsiaTheme="majorEastAsia" w:hAnsi="FlandersArtSerif-Bold" w:cstheme="majorBidi"/>
      <w:bCs/>
      <w:color w:val="9B9DA0"/>
      <w:sz w:val="24"/>
      <w:szCs w:val="24"/>
      <w:lang w:val="fr-BE"/>
    </w:rPr>
  </w:style>
  <w:style w:type="character" w:customStyle="1" w:styleId="Kop4Char">
    <w:name w:val="Kop 4 Char"/>
    <w:basedOn w:val="Standaardalinea-lettertype"/>
    <w:link w:val="Kop4"/>
    <w:uiPriority w:val="9"/>
    <w:rsid w:val="00855AF6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fr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fr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fr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fr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fr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fr-BE"/>
    </w:rPr>
  </w:style>
  <w:style w:type="paragraph" w:styleId="Inhopg1">
    <w:name w:val="toc 1"/>
    <w:basedOn w:val="Standaard"/>
    <w:next w:val="Standaard"/>
    <w:autoRedefine/>
    <w:uiPriority w:val="39"/>
    <w:unhideWhenUsed/>
    <w:rsid w:val="00C038F1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C038F1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C038F1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uiPriority w:val="99"/>
    <w:unhideWhenUsed/>
    <w:rsid w:val="00C038F1"/>
    <w:rPr>
      <w:color w:val="3C96BE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C038F1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C038F1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C038F1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C038F1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C038F1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C038F1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0C038F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fr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38F1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038F1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038F1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C038F1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C038F1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C038F1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C038F1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C038F1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C038F1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D0421E"/>
    <w:rPr>
      <w:rFonts w:ascii="FlandersArtSerif-Regular" w:hAnsi="FlandersArtSerif-Regular"/>
      <w:sz w:val="28"/>
      <w:szCs w:val="28"/>
      <w:lang w:val="fr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C038F1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fr-BE"/>
    </w:rPr>
  </w:style>
  <w:style w:type="character" w:styleId="Nadruk">
    <w:name w:val="Emphasis"/>
    <w:basedOn w:val="Standaardalinea-lettertype"/>
    <w:uiPriority w:val="20"/>
    <w:rsid w:val="00C038F1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C038F1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C038F1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C038F1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C038F1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C038F1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C038F1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C038F1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C038F1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C038F1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C038F1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C038F1"/>
    <w:pPr>
      <w:numPr>
        <w:numId w:val="3"/>
      </w:numPr>
    </w:pPr>
  </w:style>
  <w:style w:type="paragraph" w:customStyle="1" w:styleId="streepjes">
    <w:name w:val="streepjes"/>
    <w:basedOn w:val="Standaard"/>
    <w:qFormat/>
    <w:rsid w:val="00C038F1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C038F1"/>
    <w:pPr>
      <w:numPr>
        <w:numId w:val="1"/>
      </w:numPr>
    </w:pPr>
  </w:style>
  <w:style w:type="paragraph" w:customStyle="1" w:styleId="TitelVo">
    <w:name w:val="Titel_Vo"/>
    <w:basedOn w:val="Titel"/>
    <w:link w:val="TitelVoChar"/>
    <w:qFormat/>
    <w:rsid w:val="0032153C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32153C"/>
  </w:style>
  <w:style w:type="character" w:customStyle="1" w:styleId="TitelVoChar">
    <w:name w:val="Titel_Vo Char"/>
    <w:basedOn w:val="TitelChar"/>
    <w:link w:val="TitelVo"/>
    <w:rsid w:val="0032153C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fr-BE"/>
    </w:rPr>
  </w:style>
  <w:style w:type="character" w:customStyle="1" w:styleId="OndertitelVoChar">
    <w:name w:val="Ondertitel_Vo Char"/>
    <w:basedOn w:val="OndertitelChar"/>
    <w:link w:val="OndertitelVo"/>
    <w:rsid w:val="0032153C"/>
    <w:rPr>
      <w:rFonts w:ascii="FlandersArtSerif-Bold" w:hAnsi="FlandersArtSerif-Bold"/>
      <w:sz w:val="52"/>
      <w:szCs w:val="30"/>
      <w:lang w:val="fr-BE"/>
    </w:rPr>
  </w:style>
  <w:style w:type="character" w:customStyle="1" w:styleId="LijstalineaChar">
    <w:name w:val="Lijstalinea Char"/>
    <w:link w:val="Lijstalinea"/>
    <w:uiPriority w:val="34"/>
    <w:rsid w:val="008B32F3"/>
    <w:rPr>
      <w:rFonts w:ascii="FlandersArtSerif-Regular" w:hAnsi="FlandersArtSerif-Regular"/>
      <w:color w:val="1C1A15" w:themeColor="background2" w:themeShade="1A"/>
      <w:lang w:val="fr-B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A2B6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03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03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03AB"/>
    <w:rPr>
      <w:rFonts w:ascii="FlandersArtSerif-Regular" w:hAnsi="FlandersArtSerif-Regular"/>
      <w:color w:val="1C1A15" w:themeColor="background2" w:themeShade="1A"/>
      <w:sz w:val="20"/>
      <w:szCs w:val="20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03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03AB"/>
    <w:rPr>
      <w:rFonts w:ascii="FlandersArtSerif-Regular" w:hAnsi="FlandersArtSerif-Regular"/>
      <w:b/>
      <w:bCs/>
      <w:color w:val="1C1A15" w:themeColor="background2" w:themeShade="1A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dbk\Downloads\Leegdocument_OMG%20(1).dotx" TargetMode="External"/></Relationships>
</file>

<file path=word/theme/theme1.xml><?xml version="1.0" encoding="utf-8"?>
<a:theme xmlns:a="http://schemas.openxmlformats.org/drawingml/2006/main" name="Vlaamse Overheid Algemeen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2022-02-28T00:00:00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e xmlns="f2e28518-c656-493d-a704-c036ebbcfd9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61F25B0F6DC4C8F8BE9779B7E49FA" ma:contentTypeVersion="13" ma:contentTypeDescription="Een nieuw document maken." ma:contentTypeScope="" ma:versionID="520b6bd5d586191b6ff6ae8aaee578d1">
  <xsd:schema xmlns:xsd="http://www.w3.org/2001/XMLSchema" xmlns:xs="http://www.w3.org/2001/XMLSchema" xmlns:p="http://schemas.microsoft.com/office/2006/metadata/properties" xmlns:ns2="b5011adb-cdf9-4c26-93ae-b8c991fc9dba" xmlns:ns3="f2e28518-c656-493d-a704-c036ebbcfd97" targetNamespace="http://schemas.microsoft.com/office/2006/metadata/properties" ma:root="true" ma:fieldsID="28fb23f0b33253fbac2ff514a5f50b33" ns2:_="" ns3:_="">
    <xsd:import namespace="b5011adb-cdf9-4c26-93ae-b8c991fc9dba"/>
    <xsd:import namespace="f2e28518-c656-493d-a704-c036ebbcfd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Acti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11adb-cdf9-4c26-93ae-b8c991fc9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8518-c656-493d-a704-c036ebbcf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tie" ma:index="19" nillable="true" ma:displayName="Actie" ma:format="Dropdown" ma:internalName="Actie">
      <xsd:simpleType>
        <xsd:union memberTypes="dms:Text">
          <xsd:simpleType>
            <xsd:restriction base="dms:Choice">
              <xsd:enumeration value="Algemeen"/>
              <xsd:enumeration value="Archief"/>
              <xsd:enumeration value="Dossier"/>
              <xsd:enumeration value="Overleg"/>
            </xsd:restriction>
          </xsd:simpleType>
        </xsd:un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45585A-3793-4E88-AE87-4008B4096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9F9F3-E351-4AFD-A95B-E02D60A0A7B9}">
  <ds:schemaRefs>
    <ds:schemaRef ds:uri="http://schemas.microsoft.com/office/2006/metadata/properties"/>
    <ds:schemaRef ds:uri="http://schemas.microsoft.com/office/infopath/2007/PartnerControls"/>
    <ds:schemaRef ds:uri="f2e28518-c656-493d-a704-c036ebbcfd97"/>
  </ds:schemaRefs>
</ds:datastoreItem>
</file>

<file path=customXml/itemProps4.xml><?xml version="1.0" encoding="utf-8"?>
<ds:datastoreItem xmlns:ds="http://schemas.openxmlformats.org/officeDocument/2006/customXml" ds:itemID="{284BA667-22B3-4A8D-B46D-BDEC1E0DF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11adb-cdf9-4c26-93ae-b8c991fc9dba"/>
    <ds:schemaRef ds:uri="f2e28518-c656-493d-a704-c036ebbcf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517D83-6B98-4F8C-87ED-3190E7D4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Leegdocument_OMG (1)</Template>
  <TotalTime>26</TotalTime>
  <Pages>4</Pages>
  <Words>704</Words>
  <Characters>3872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Opdrachtencentrale OPEN Brussels - Offertevraag</vt:lpstr>
      <vt:lpstr>Opdrachtencentrale ORN - Offertevraag</vt:lpstr>
      <vt:lpstr>Titel van het document</vt:lpstr>
    </vt:vector>
  </TitlesOfParts>
  <Company>Vlaamse Overheid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Centrale de marchés OPEN Brussels – formulaire de demande</dc:title>
  <dc:creator>Zand, Björn</dc:creator>
  <cp:lastModifiedBy>VERMOESEN Frank</cp:lastModifiedBy>
  <cp:revision>3</cp:revision>
  <cp:lastPrinted>2014-03-28T18:07:00Z</cp:lastPrinted>
  <dcterms:created xsi:type="dcterms:W3CDTF">2022-05-03T15:16:00Z</dcterms:created>
  <dcterms:modified xsi:type="dcterms:W3CDTF">2022-05-03T16:00:00Z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0x01010091A61F25B0F6DC4C8F8BE9779B7E49FA</vt:lpwstr>
  </property>
  <property fmtid="{D5CDD505-2E9C-101B-9397-08002B2CF9AE}" pid="3" name="Trefwoorden">
    <vt:lpwstr/>
  </property>
</Properties>
</file>