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F7A" w:rsidRPr="009016B5" w:rsidRDefault="00694F7A" w:rsidP="00694F7A">
      <w:pPr>
        <w:pStyle w:val="Default"/>
        <w:jc w:val="both"/>
        <w:rPr>
          <w:rFonts w:asciiTheme="minorHAnsi" w:hAnsiTheme="minorHAnsi"/>
          <w:b/>
          <w:bCs/>
          <w:color w:val="auto"/>
          <w:sz w:val="22"/>
          <w:szCs w:val="22"/>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A0" w:firstRow="1" w:lastRow="0" w:firstColumn="1" w:lastColumn="0" w:noHBand="0" w:noVBand="0"/>
      </w:tblPr>
      <w:tblGrid>
        <w:gridCol w:w="8966"/>
      </w:tblGrid>
      <w:tr w:rsidR="00694F7A" w:rsidRPr="009016B5" w:rsidTr="008A2B71">
        <w:trPr>
          <w:trHeight w:val="3786"/>
        </w:trPr>
        <w:tc>
          <w:tcPr>
            <w:tcW w:w="9171" w:type="dxa"/>
          </w:tcPr>
          <w:p w:rsidR="00694F7A" w:rsidRDefault="00694F7A" w:rsidP="008A2B71">
            <w:pPr>
              <w:pStyle w:val="Default"/>
              <w:jc w:val="both"/>
              <w:rPr>
                <w:rFonts w:asciiTheme="minorHAnsi" w:hAnsiTheme="minorHAnsi"/>
                <w:b/>
                <w:bCs/>
                <w:color w:val="auto"/>
                <w:sz w:val="40"/>
                <w:szCs w:val="27"/>
              </w:rPr>
            </w:pPr>
            <w:r w:rsidRPr="00CB6A7B">
              <w:rPr>
                <w:rFonts w:asciiTheme="minorHAnsi" w:hAnsiTheme="minorHAnsi"/>
                <w:b/>
                <w:bCs/>
                <w:color w:val="auto"/>
                <w:sz w:val="40"/>
                <w:szCs w:val="27"/>
              </w:rPr>
              <w:t xml:space="preserve">Déclaration dans le régime de la taxe sur les déchets collectés de manière non sélective par l'Agence </w:t>
            </w:r>
          </w:p>
          <w:p w:rsidR="00694F7A" w:rsidRDefault="00694F7A" w:rsidP="008A2B71">
            <w:pPr>
              <w:pStyle w:val="Default"/>
              <w:jc w:val="both"/>
              <w:rPr>
                <w:rFonts w:asciiTheme="minorHAnsi" w:hAnsiTheme="minorHAnsi"/>
                <w:b/>
                <w:bCs/>
                <w:color w:val="auto"/>
                <w:sz w:val="40"/>
                <w:szCs w:val="27"/>
              </w:rPr>
            </w:pPr>
          </w:p>
          <w:p w:rsidR="00694F7A" w:rsidRPr="00CB6A7B" w:rsidRDefault="00694F7A" w:rsidP="008A2B71">
            <w:pPr>
              <w:pStyle w:val="Default"/>
              <w:jc w:val="both"/>
              <w:rPr>
                <w:rFonts w:asciiTheme="minorHAnsi" w:hAnsiTheme="minorHAnsi"/>
                <w:b/>
                <w:bCs/>
                <w:color w:val="auto"/>
                <w:sz w:val="40"/>
                <w:szCs w:val="27"/>
              </w:rPr>
            </w:pPr>
            <w:r>
              <w:rPr>
                <w:rFonts w:asciiTheme="minorHAnsi" w:hAnsiTheme="minorHAnsi"/>
                <w:b/>
                <w:bCs/>
                <w:color w:val="auto"/>
                <w:sz w:val="40"/>
                <w:szCs w:val="27"/>
              </w:rPr>
              <w:t>Pour l’exercice d’imposition ………</w:t>
            </w:r>
          </w:p>
          <w:p w:rsidR="00694F7A" w:rsidRPr="009016B5" w:rsidRDefault="00694F7A" w:rsidP="008A2B71">
            <w:pPr>
              <w:spacing w:after="0" w:line="240" w:lineRule="auto"/>
              <w:jc w:val="both"/>
              <w:rPr>
                <w:rFonts w:cs="Arial"/>
              </w:rPr>
            </w:pPr>
          </w:p>
          <w:tbl>
            <w:tblPr>
              <w:tblpPr w:leftFromText="141" w:rightFromText="141" w:vertAnchor="text" w:horzAnchor="page" w:tblpX="7088" w:tblpY="127"/>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4"/>
            </w:tblGrid>
            <w:tr w:rsidR="00694F7A" w:rsidRPr="009016B5" w:rsidTr="008A2B71">
              <w:trPr>
                <w:trHeight w:val="1117"/>
              </w:trPr>
              <w:tc>
                <w:tcPr>
                  <w:tcW w:w="3494" w:type="dxa"/>
                </w:tcPr>
                <w:p w:rsidR="00694F7A" w:rsidRPr="009016B5" w:rsidRDefault="00694F7A" w:rsidP="00694F7A">
                  <w:pPr>
                    <w:pStyle w:val="Paragraphedeliste"/>
                    <w:spacing w:after="0"/>
                    <w:ind w:left="0"/>
                    <w:jc w:val="both"/>
                    <w:rPr>
                      <w:rFonts w:asciiTheme="minorHAnsi" w:eastAsia="Times New Roman" w:hAnsiTheme="minorHAnsi" w:cs="Arial"/>
                      <w:noProof/>
                      <w:lang w:eastAsia="fr-BE"/>
                    </w:rPr>
                  </w:pPr>
                  <w:r w:rsidRPr="009016B5">
                    <w:rPr>
                      <w:rFonts w:asciiTheme="minorHAnsi" w:eastAsia="Times New Roman" w:hAnsiTheme="minorHAnsi" w:cs="Arial"/>
                      <w:noProof/>
                      <w:lang w:eastAsia="fr-BE"/>
                    </w:rPr>
                    <w:t xml:space="preserve">Bruxelles Environnement -  </w:t>
                  </w:r>
                </w:p>
                <w:p w:rsidR="00694F7A" w:rsidRPr="00CB2156" w:rsidRDefault="00694F7A" w:rsidP="00694F7A">
                  <w:pPr>
                    <w:spacing w:after="0"/>
                    <w:jc w:val="both"/>
                    <w:rPr>
                      <w:rFonts w:eastAsia="Times New Roman"/>
                      <w:i/>
                      <w:noProof/>
                      <w:sz w:val="17"/>
                      <w:szCs w:val="17"/>
                      <w:lang w:eastAsia="fr-BE"/>
                    </w:rPr>
                  </w:pPr>
                  <w:r w:rsidRPr="00CB2156">
                    <w:rPr>
                      <w:rFonts w:eastAsia="Times New Roman"/>
                      <w:i/>
                      <w:noProof/>
                      <w:sz w:val="17"/>
                      <w:szCs w:val="17"/>
                      <w:lang w:eastAsia="fr-BE"/>
                    </w:rPr>
                    <w:t>Site de Tour &amp; Taxis</w:t>
                  </w:r>
                </w:p>
                <w:p w:rsidR="00694F7A" w:rsidRDefault="00694F7A" w:rsidP="00694F7A">
                  <w:pPr>
                    <w:pStyle w:val="Paragraphedeliste"/>
                    <w:ind w:left="0"/>
                    <w:jc w:val="both"/>
                    <w:rPr>
                      <w:rFonts w:asciiTheme="minorHAnsi" w:eastAsia="Times New Roman" w:hAnsiTheme="minorHAnsi"/>
                      <w:i/>
                      <w:noProof/>
                      <w:sz w:val="17"/>
                      <w:szCs w:val="17"/>
                      <w:lang w:eastAsia="fr-BE"/>
                    </w:rPr>
                  </w:pPr>
                  <w:r w:rsidRPr="00CB2156">
                    <w:rPr>
                      <w:rFonts w:asciiTheme="minorHAnsi" w:eastAsia="Times New Roman" w:hAnsiTheme="minorHAnsi"/>
                      <w:i/>
                      <w:noProof/>
                      <w:sz w:val="17"/>
                      <w:szCs w:val="17"/>
                      <w:lang w:eastAsia="fr-BE"/>
                    </w:rPr>
                    <w:t xml:space="preserve">Avenue du Port 86C/3000 </w:t>
                  </w:r>
                </w:p>
                <w:p w:rsidR="00694F7A" w:rsidRPr="009016B5" w:rsidRDefault="00694F7A" w:rsidP="00694F7A">
                  <w:pPr>
                    <w:pStyle w:val="Paragraphedeliste"/>
                    <w:spacing w:after="0"/>
                    <w:ind w:left="0"/>
                    <w:jc w:val="both"/>
                    <w:rPr>
                      <w:rFonts w:asciiTheme="minorHAnsi" w:hAnsiTheme="minorHAnsi" w:cs="Arial"/>
                    </w:rPr>
                  </w:pPr>
                  <w:r w:rsidRPr="00CB2156">
                    <w:rPr>
                      <w:rFonts w:asciiTheme="minorHAnsi" w:eastAsia="Times New Roman" w:hAnsiTheme="minorHAnsi"/>
                      <w:i/>
                      <w:noProof/>
                      <w:sz w:val="17"/>
                      <w:szCs w:val="17"/>
                      <w:lang w:eastAsia="fr-BE"/>
                    </w:rPr>
                    <w:t>B-1000 Bruxelles</w:t>
                  </w:r>
                </w:p>
              </w:tc>
            </w:tr>
          </w:tbl>
          <w:p w:rsidR="00694F7A" w:rsidRPr="009016B5" w:rsidRDefault="00694F7A" w:rsidP="008A2B71">
            <w:pPr>
              <w:pStyle w:val="Paragraphedeliste"/>
              <w:numPr>
                <w:ilvl w:val="0"/>
                <w:numId w:val="1"/>
              </w:numPr>
              <w:spacing w:after="0" w:line="240" w:lineRule="auto"/>
              <w:jc w:val="both"/>
              <w:rPr>
                <w:rFonts w:asciiTheme="minorHAnsi" w:hAnsiTheme="minorHAnsi" w:cs="Arial"/>
              </w:rPr>
            </w:pPr>
            <w:r w:rsidRPr="009016B5">
              <w:rPr>
                <w:rFonts w:asciiTheme="minorHAnsi" w:hAnsiTheme="minorHAnsi" w:cs="Arial"/>
                <w:b/>
                <w:bCs/>
              </w:rPr>
              <w:t xml:space="preserve">Instructions pour l'utilisateur </w:t>
            </w:r>
            <w:r w:rsidRPr="009016B5">
              <w:rPr>
                <w:rFonts w:asciiTheme="minorHAnsi" w:hAnsiTheme="minorHAnsi" w:cs="Arial"/>
              </w:rPr>
              <w:t xml:space="preserve">La réglementation impose que la déclaration, dûment complétée, certifiée exacte, datée et signée parvienne au service de </w:t>
            </w:r>
            <w:r>
              <w:rPr>
                <w:rFonts w:asciiTheme="minorHAnsi" w:hAnsiTheme="minorHAnsi" w:cs="Arial"/>
              </w:rPr>
              <w:t>Bruxelles Environnement</w:t>
            </w:r>
            <w:r w:rsidRPr="009016B5">
              <w:rPr>
                <w:rFonts w:asciiTheme="minorHAnsi" w:hAnsiTheme="minorHAnsi" w:cs="Arial"/>
              </w:rPr>
              <w:t xml:space="preserve"> indiqué sur le présent formulaire.</w:t>
            </w:r>
          </w:p>
          <w:p w:rsidR="00694F7A" w:rsidRPr="009016B5" w:rsidRDefault="00694F7A" w:rsidP="008A2B71">
            <w:pPr>
              <w:pStyle w:val="Paragraphedeliste"/>
              <w:numPr>
                <w:ilvl w:val="0"/>
                <w:numId w:val="1"/>
              </w:numPr>
              <w:spacing w:after="0" w:line="240" w:lineRule="auto"/>
              <w:jc w:val="both"/>
              <w:rPr>
                <w:rFonts w:asciiTheme="minorHAnsi" w:hAnsiTheme="minorHAnsi" w:cs="Arial"/>
              </w:rPr>
            </w:pPr>
            <w:r w:rsidRPr="009016B5">
              <w:rPr>
                <w:rFonts w:asciiTheme="minorHAnsi" w:hAnsiTheme="minorHAnsi" w:cs="Arial"/>
                <w:b/>
                <w:bCs/>
              </w:rPr>
              <w:t>Pour plus d’informations : données de contact de Bruxelles Environnement</w:t>
            </w:r>
          </w:p>
          <w:p w:rsidR="00694F7A" w:rsidRPr="009016B5" w:rsidRDefault="00694F7A" w:rsidP="008A2B71">
            <w:pPr>
              <w:pStyle w:val="Default"/>
              <w:jc w:val="both"/>
              <w:rPr>
                <w:rFonts w:asciiTheme="minorHAnsi" w:hAnsiTheme="minorHAnsi"/>
                <w:i/>
                <w:iCs/>
                <w:color w:val="auto"/>
                <w:sz w:val="22"/>
                <w:szCs w:val="22"/>
              </w:rPr>
            </w:pPr>
          </w:p>
          <w:p w:rsidR="00694F7A" w:rsidRPr="009016B5" w:rsidRDefault="00694F7A" w:rsidP="008A2B71">
            <w:pPr>
              <w:pStyle w:val="Default"/>
              <w:jc w:val="both"/>
              <w:rPr>
                <w:rFonts w:asciiTheme="minorHAnsi" w:hAnsiTheme="minorHAnsi"/>
                <w:i/>
                <w:iCs/>
                <w:color w:val="auto"/>
                <w:sz w:val="22"/>
                <w:szCs w:val="22"/>
                <w:u w:val="single"/>
              </w:rPr>
            </w:pPr>
            <w:r w:rsidRPr="009016B5">
              <w:rPr>
                <w:rFonts w:asciiTheme="minorHAnsi" w:hAnsiTheme="minorHAnsi"/>
                <w:i/>
                <w:iCs/>
                <w:color w:val="auto"/>
                <w:sz w:val="22"/>
                <w:szCs w:val="22"/>
                <w:u w:val="single"/>
              </w:rPr>
              <w:t xml:space="preserve">Base légale : </w:t>
            </w:r>
          </w:p>
          <w:p w:rsidR="00694F7A" w:rsidRPr="009016B5" w:rsidRDefault="00694F7A" w:rsidP="008A2B71">
            <w:pPr>
              <w:pStyle w:val="Default"/>
              <w:jc w:val="both"/>
              <w:rPr>
                <w:rFonts w:asciiTheme="minorHAnsi" w:hAnsiTheme="minorHAnsi"/>
                <w:i/>
                <w:iCs/>
                <w:color w:val="auto"/>
                <w:sz w:val="22"/>
                <w:szCs w:val="22"/>
              </w:rPr>
            </w:pPr>
          </w:p>
          <w:p w:rsidR="00694F7A" w:rsidRPr="009016B5" w:rsidRDefault="00694F7A" w:rsidP="008A2B71">
            <w:pPr>
              <w:pStyle w:val="Default"/>
              <w:numPr>
                <w:ilvl w:val="0"/>
                <w:numId w:val="1"/>
              </w:numPr>
              <w:jc w:val="both"/>
              <w:rPr>
                <w:rFonts w:asciiTheme="minorHAnsi" w:hAnsiTheme="minorHAnsi"/>
                <w:color w:val="auto"/>
                <w:sz w:val="22"/>
                <w:szCs w:val="22"/>
              </w:rPr>
            </w:pPr>
            <w:r w:rsidRPr="009016B5">
              <w:rPr>
                <w:rFonts w:asciiTheme="minorHAnsi" w:hAnsiTheme="minorHAnsi"/>
                <w:i/>
                <w:iCs/>
                <w:color w:val="auto"/>
                <w:sz w:val="22"/>
                <w:szCs w:val="22"/>
              </w:rPr>
              <w:t>Art 41 et 44 de l’Ordonnance du 14 Juin 2012 relative aux déchets</w:t>
            </w:r>
          </w:p>
          <w:p w:rsidR="00694F7A" w:rsidRPr="009016B5" w:rsidRDefault="00694F7A" w:rsidP="008A2B71">
            <w:pPr>
              <w:pStyle w:val="Default"/>
              <w:jc w:val="both"/>
              <w:rPr>
                <w:rFonts w:asciiTheme="minorHAnsi" w:hAnsiTheme="minorHAnsi"/>
                <w:b/>
                <w:bCs/>
                <w:color w:val="auto"/>
                <w:sz w:val="22"/>
                <w:szCs w:val="22"/>
              </w:rPr>
            </w:pPr>
            <w:r w:rsidRPr="009016B5">
              <w:rPr>
                <w:rFonts w:asciiTheme="minorHAnsi" w:hAnsiTheme="minorHAnsi"/>
                <w:b/>
                <w:bCs/>
                <w:color w:val="auto"/>
                <w:sz w:val="22"/>
                <w:szCs w:val="22"/>
              </w:rPr>
              <w:t>Données administratives :</w:t>
            </w:r>
          </w:p>
          <w:p w:rsidR="00694F7A" w:rsidRPr="009016B5" w:rsidRDefault="00694F7A" w:rsidP="008A2B71">
            <w:pPr>
              <w:pStyle w:val="Default"/>
              <w:keepNext/>
              <w:numPr>
                <w:ilvl w:val="0"/>
                <w:numId w:val="5"/>
              </w:numPr>
              <w:spacing w:before="240" w:after="60" w:line="276" w:lineRule="auto"/>
              <w:jc w:val="both"/>
              <w:rPr>
                <w:rFonts w:asciiTheme="minorHAnsi" w:hAnsiTheme="minorHAnsi"/>
                <w:b/>
                <w:bCs/>
                <w:color w:val="auto"/>
                <w:sz w:val="22"/>
                <w:szCs w:val="22"/>
              </w:rPr>
            </w:pPr>
            <w:r w:rsidRPr="009016B5">
              <w:rPr>
                <w:rFonts w:asciiTheme="minorHAnsi" w:hAnsiTheme="minorHAnsi"/>
                <w:i/>
                <w:iCs/>
                <w:color w:val="auto"/>
                <w:sz w:val="22"/>
                <w:szCs w:val="22"/>
              </w:rPr>
              <w:t>Numéro de dossier :…………</w:t>
            </w:r>
          </w:p>
        </w:tc>
      </w:tr>
    </w:tbl>
    <w:p w:rsidR="00694F7A" w:rsidRPr="009016B5" w:rsidRDefault="00694F7A" w:rsidP="00694F7A">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694F7A" w:rsidRPr="009016B5" w:rsidTr="008A2B71">
        <w:tc>
          <w:tcPr>
            <w:tcW w:w="9212" w:type="dxa"/>
          </w:tcPr>
          <w:p w:rsidR="00694F7A" w:rsidRPr="009016B5" w:rsidRDefault="00694F7A" w:rsidP="008A2B71">
            <w:pPr>
              <w:pStyle w:val="Default"/>
              <w:jc w:val="both"/>
              <w:rPr>
                <w:rFonts w:asciiTheme="minorHAnsi" w:hAnsiTheme="minorHAnsi"/>
                <w:b/>
                <w:bCs/>
                <w:color w:val="auto"/>
                <w:sz w:val="22"/>
                <w:szCs w:val="22"/>
                <w:u w:val="single"/>
              </w:rPr>
            </w:pPr>
            <w:r w:rsidRPr="009016B5">
              <w:rPr>
                <w:rFonts w:asciiTheme="minorHAnsi" w:hAnsiTheme="minorHAnsi"/>
                <w:b/>
                <w:bCs/>
                <w:color w:val="auto"/>
                <w:sz w:val="22"/>
                <w:szCs w:val="22"/>
                <w:u w:val="single"/>
              </w:rPr>
              <w:t xml:space="preserve">Cadre réservé à l'administration </w:t>
            </w:r>
          </w:p>
          <w:p w:rsidR="00694F7A" w:rsidRPr="009016B5" w:rsidRDefault="00694F7A" w:rsidP="008A2B71">
            <w:pPr>
              <w:pStyle w:val="Paragraphedeliste"/>
              <w:spacing w:after="0" w:line="240" w:lineRule="auto"/>
              <w:ind w:left="0"/>
              <w:jc w:val="both"/>
              <w:rPr>
                <w:rFonts w:asciiTheme="minorHAnsi" w:hAnsiTheme="minorHAnsi" w:cs="Arial"/>
              </w:rPr>
            </w:pPr>
          </w:p>
          <w:p w:rsidR="00694F7A" w:rsidRPr="009016B5" w:rsidRDefault="00694F7A" w:rsidP="008A2B71">
            <w:pPr>
              <w:pStyle w:val="Paragraphedeliste"/>
              <w:spacing w:after="0" w:line="240" w:lineRule="auto"/>
              <w:ind w:left="0"/>
              <w:jc w:val="both"/>
              <w:rPr>
                <w:rFonts w:asciiTheme="minorHAnsi" w:hAnsiTheme="minorHAnsi" w:cs="Arial"/>
              </w:rPr>
            </w:pPr>
            <w:r w:rsidRPr="009016B5">
              <w:rPr>
                <w:rFonts w:asciiTheme="minorHAnsi" w:hAnsiTheme="minorHAnsi" w:cs="Arial"/>
              </w:rPr>
              <w:t xml:space="preserve">VISA (cachet </w:t>
            </w:r>
            <w:r>
              <w:rPr>
                <w:rFonts w:asciiTheme="minorHAnsi" w:hAnsiTheme="minorHAnsi" w:cs="Arial"/>
              </w:rPr>
              <w:t>BE</w:t>
            </w:r>
            <w:r w:rsidRPr="009016B5">
              <w:rPr>
                <w:rFonts w:asciiTheme="minorHAnsi" w:hAnsiTheme="minorHAnsi" w:cs="Arial"/>
              </w:rPr>
              <w:t>+ Date)</w:t>
            </w:r>
          </w:p>
          <w:p w:rsidR="00694F7A" w:rsidRPr="009016B5" w:rsidRDefault="00694F7A" w:rsidP="008A2B71">
            <w:pPr>
              <w:pStyle w:val="Paragraphedeliste"/>
              <w:spacing w:after="0" w:line="240" w:lineRule="auto"/>
              <w:ind w:left="0"/>
              <w:jc w:val="both"/>
              <w:rPr>
                <w:rFonts w:asciiTheme="minorHAnsi" w:hAnsiTheme="minorHAnsi" w:cs="Arial"/>
              </w:rPr>
            </w:pPr>
          </w:p>
          <w:p w:rsidR="00694F7A" w:rsidRPr="009016B5" w:rsidRDefault="00694F7A" w:rsidP="008A2B71">
            <w:pPr>
              <w:pStyle w:val="Paragraphedeliste"/>
              <w:spacing w:after="0" w:line="240" w:lineRule="auto"/>
              <w:ind w:left="0"/>
              <w:jc w:val="both"/>
              <w:rPr>
                <w:rFonts w:asciiTheme="minorHAnsi" w:hAnsiTheme="minorHAnsi" w:cs="Arial"/>
              </w:rPr>
            </w:pPr>
          </w:p>
          <w:p w:rsidR="00694F7A" w:rsidRPr="009016B5" w:rsidRDefault="00694F7A" w:rsidP="008A2B71">
            <w:pPr>
              <w:pStyle w:val="Paragraphedeliste"/>
              <w:spacing w:after="0" w:line="240" w:lineRule="auto"/>
              <w:ind w:left="0"/>
              <w:jc w:val="both"/>
              <w:rPr>
                <w:rFonts w:asciiTheme="minorHAnsi" w:hAnsiTheme="minorHAnsi" w:cs="Arial"/>
              </w:rPr>
            </w:pPr>
          </w:p>
          <w:p w:rsidR="00694F7A" w:rsidRPr="009016B5" w:rsidRDefault="00694F7A" w:rsidP="008A2B71">
            <w:pPr>
              <w:pStyle w:val="Paragraphedeliste"/>
              <w:spacing w:after="0" w:line="240" w:lineRule="auto"/>
              <w:ind w:left="0"/>
              <w:jc w:val="both"/>
              <w:rPr>
                <w:rFonts w:asciiTheme="minorHAnsi" w:hAnsiTheme="minorHAnsi" w:cs="Arial"/>
              </w:rPr>
            </w:pPr>
          </w:p>
          <w:p w:rsidR="00694F7A" w:rsidRPr="009016B5" w:rsidRDefault="00694F7A" w:rsidP="008A2B71">
            <w:pPr>
              <w:pStyle w:val="Default"/>
              <w:jc w:val="both"/>
              <w:rPr>
                <w:rFonts w:asciiTheme="minorHAnsi" w:hAnsiTheme="minorHAnsi"/>
                <w:b/>
                <w:bCs/>
                <w:color w:val="auto"/>
                <w:sz w:val="22"/>
                <w:szCs w:val="22"/>
              </w:rPr>
            </w:pPr>
          </w:p>
        </w:tc>
      </w:tr>
    </w:tbl>
    <w:p w:rsidR="00694F7A" w:rsidRPr="009016B5" w:rsidRDefault="00694F7A" w:rsidP="00694F7A">
      <w:pPr>
        <w:pStyle w:val="Default"/>
        <w:jc w:val="both"/>
        <w:rPr>
          <w:rFonts w:asciiTheme="minorHAnsi" w:hAnsiTheme="minorHAnsi"/>
          <w:b/>
          <w:bCs/>
          <w:color w:val="auto"/>
          <w:sz w:val="22"/>
          <w:szCs w:val="22"/>
        </w:rPr>
      </w:pPr>
    </w:p>
    <w:p w:rsidR="00694F7A" w:rsidRPr="009016B5" w:rsidRDefault="00694F7A" w:rsidP="00694F7A">
      <w:pPr>
        <w:pStyle w:val="Default"/>
        <w:jc w:val="both"/>
        <w:rPr>
          <w:rFonts w:asciiTheme="minorHAnsi" w:hAnsiTheme="minorHAnsi"/>
          <w:b/>
          <w:bCs/>
          <w:color w:val="auto"/>
          <w:sz w:val="22"/>
          <w:szCs w:val="22"/>
          <w:u w:val="single"/>
        </w:rPr>
      </w:pPr>
      <w:r w:rsidRPr="009016B5">
        <w:rPr>
          <w:rFonts w:asciiTheme="minorHAnsi" w:hAnsiTheme="minorHAnsi"/>
          <w:b/>
          <w:bCs/>
          <w:color w:val="auto"/>
          <w:sz w:val="22"/>
          <w:szCs w:val="22"/>
          <w:u w:val="single"/>
        </w:rPr>
        <w:t>A compléter par le déclarant</w:t>
      </w:r>
    </w:p>
    <w:p w:rsidR="00694F7A" w:rsidRPr="009016B5" w:rsidRDefault="00694F7A" w:rsidP="00694F7A">
      <w:pPr>
        <w:pStyle w:val="Default"/>
        <w:jc w:val="both"/>
        <w:rPr>
          <w:rFonts w:asciiTheme="minorHAnsi" w:hAnsiTheme="minorHAnsi"/>
          <w:b/>
          <w:bCs/>
          <w:color w:val="auto"/>
          <w:sz w:val="22"/>
          <w:szCs w:val="22"/>
        </w:rPr>
      </w:pPr>
    </w:p>
    <w:p w:rsidR="00694F7A" w:rsidRPr="009016B5" w:rsidRDefault="00694F7A" w:rsidP="00694F7A">
      <w:pPr>
        <w:pStyle w:val="Paragraphedeliste"/>
        <w:numPr>
          <w:ilvl w:val="0"/>
          <w:numId w:val="9"/>
        </w:numPr>
        <w:autoSpaceDE w:val="0"/>
        <w:autoSpaceDN w:val="0"/>
        <w:adjustRightInd w:val="0"/>
        <w:jc w:val="both"/>
        <w:rPr>
          <w:rFonts w:asciiTheme="minorHAnsi" w:hAnsiTheme="minorHAnsi" w:cs="Arial"/>
          <w:b/>
          <w:bCs/>
          <w:i/>
          <w:iCs/>
        </w:rPr>
      </w:pPr>
      <w:r w:rsidRPr="009016B5">
        <w:rPr>
          <w:rFonts w:asciiTheme="minorHAnsi" w:hAnsiTheme="minorHAnsi" w:cs="Arial"/>
          <w:b/>
          <w:bCs/>
          <w:i/>
          <w:iCs/>
        </w:rPr>
        <w:t>Identité du déclarant</w:t>
      </w:r>
    </w:p>
    <w:p w:rsidR="00694F7A" w:rsidRPr="009016B5" w:rsidRDefault="00694F7A" w:rsidP="00694F7A">
      <w:pPr>
        <w:pStyle w:val="Paragraphedeliste"/>
        <w:jc w:val="both"/>
        <w:rPr>
          <w:rFonts w:asciiTheme="minorHAnsi" w:hAnsiTheme="minorHAnsi" w:cs="Arial"/>
        </w:rPr>
      </w:pPr>
    </w:p>
    <w:p w:rsidR="00694F7A" w:rsidRPr="009016B5" w:rsidRDefault="00694F7A" w:rsidP="00694F7A">
      <w:pPr>
        <w:pStyle w:val="Paragraphedeliste"/>
        <w:numPr>
          <w:ilvl w:val="0"/>
          <w:numId w:val="3"/>
        </w:numPr>
        <w:jc w:val="both"/>
        <w:rPr>
          <w:rFonts w:asciiTheme="minorHAnsi" w:hAnsiTheme="minorHAnsi" w:cs="Arial"/>
        </w:rPr>
      </w:pPr>
      <w:r w:rsidRPr="009016B5">
        <w:rPr>
          <w:rFonts w:asciiTheme="minorHAnsi" w:hAnsiTheme="minorHAnsi" w:cs="Arial"/>
        </w:rPr>
        <w:t xml:space="preserve">N° d’entreprise : </w:t>
      </w:r>
    </w:p>
    <w:p w:rsidR="00694F7A" w:rsidRPr="009016B5" w:rsidRDefault="00694F7A" w:rsidP="00694F7A">
      <w:pPr>
        <w:pStyle w:val="Paragraphedeliste"/>
        <w:numPr>
          <w:ilvl w:val="0"/>
          <w:numId w:val="3"/>
        </w:numPr>
        <w:jc w:val="both"/>
        <w:rPr>
          <w:rFonts w:asciiTheme="minorHAnsi" w:hAnsiTheme="minorHAnsi" w:cs="Arial"/>
        </w:rPr>
      </w:pPr>
      <w:r w:rsidRPr="009016B5">
        <w:rPr>
          <w:rFonts w:asciiTheme="minorHAnsi" w:hAnsiTheme="minorHAnsi" w:cs="Arial"/>
        </w:rPr>
        <w:t xml:space="preserve">Nom de l’entreprise : </w:t>
      </w:r>
    </w:p>
    <w:p w:rsidR="00694F7A" w:rsidRPr="009016B5" w:rsidRDefault="00694F7A" w:rsidP="00694F7A">
      <w:pPr>
        <w:pStyle w:val="Paragraphedeliste"/>
        <w:numPr>
          <w:ilvl w:val="0"/>
          <w:numId w:val="3"/>
        </w:numPr>
        <w:jc w:val="both"/>
        <w:rPr>
          <w:rFonts w:asciiTheme="minorHAnsi" w:hAnsiTheme="minorHAnsi" w:cs="Arial"/>
        </w:rPr>
      </w:pPr>
      <w:r w:rsidRPr="009016B5">
        <w:rPr>
          <w:rFonts w:asciiTheme="minorHAnsi" w:hAnsiTheme="minorHAnsi" w:cs="Arial"/>
        </w:rPr>
        <w:t>Siège social de l’entreprise : ……………………………………………..</w:t>
      </w:r>
    </w:p>
    <w:p w:rsidR="00694F7A" w:rsidRPr="009016B5" w:rsidRDefault="00694F7A" w:rsidP="00694F7A">
      <w:pPr>
        <w:pStyle w:val="Paragraphedeliste"/>
        <w:numPr>
          <w:ilvl w:val="1"/>
          <w:numId w:val="3"/>
        </w:numPr>
        <w:autoSpaceDE w:val="0"/>
        <w:autoSpaceDN w:val="0"/>
        <w:adjustRightInd w:val="0"/>
        <w:jc w:val="both"/>
        <w:rPr>
          <w:rFonts w:asciiTheme="minorHAnsi" w:hAnsiTheme="minorHAnsi" w:cs="Arial"/>
        </w:rPr>
      </w:pPr>
      <w:r w:rsidRPr="009016B5">
        <w:rPr>
          <w:rFonts w:asciiTheme="minorHAnsi" w:hAnsiTheme="minorHAnsi" w:cs="Arial"/>
        </w:rPr>
        <w:t>Rue :</w:t>
      </w:r>
      <w:r w:rsidRPr="009016B5">
        <w:rPr>
          <w:rFonts w:asciiTheme="minorHAnsi" w:hAnsiTheme="minorHAnsi" w:cs="Arial"/>
        </w:rPr>
        <w:tab/>
      </w:r>
      <w:r w:rsidRPr="009016B5">
        <w:rPr>
          <w:rFonts w:asciiTheme="minorHAnsi" w:hAnsiTheme="minorHAnsi" w:cs="Arial"/>
        </w:rPr>
        <w:tab/>
        <w:t xml:space="preserve">N° : </w:t>
      </w:r>
      <w:r w:rsidRPr="009016B5">
        <w:rPr>
          <w:rFonts w:asciiTheme="minorHAnsi" w:hAnsiTheme="minorHAnsi" w:cs="Arial"/>
        </w:rPr>
        <w:tab/>
      </w:r>
      <w:r w:rsidRPr="009016B5">
        <w:rPr>
          <w:rFonts w:asciiTheme="minorHAnsi" w:hAnsiTheme="minorHAnsi" w:cs="Arial"/>
        </w:rPr>
        <w:tab/>
      </w:r>
      <w:r w:rsidRPr="009016B5">
        <w:rPr>
          <w:rFonts w:asciiTheme="minorHAnsi" w:hAnsiTheme="minorHAnsi" w:cs="Arial"/>
        </w:rPr>
        <w:tab/>
        <w:t xml:space="preserve">Boîte : </w:t>
      </w:r>
    </w:p>
    <w:p w:rsidR="00694F7A" w:rsidRPr="009016B5" w:rsidRDefault="00694F7A" w:rsidP="00694F7A">
      <w:pPr>
        <w:pStyle w:val="Paragraphedeliste"/>
        <w:numPr>
          <w:ilvl w:val="1"/>
          <w:numId w:val="3"/>
        </w:numPr>
        <w:autoSpaceDE w:val="0"/>
        <w:autoSpaceDN w:val="0"/>
        <w:adjustRightInd w:val="0"/>
        <w:jc w:val="both"/>
        <w:rPr>
          <w:rFonts w:asciiTheme="minorHAnsi" w:hAnsiTheme="minorHAnsi" w:cs="Arial"/>
        </w:rPr>
      </w:pPr>
      <w:r w:rsidRPr="009016B5">
        <w:rPr>
          <w:rFonts w:asciiTheme="minorHAnsi" w:hAnsiTheme="minorHAnsi" w:cs="Arial"/>
        </w:rPr>
        <w:t>Code postal …………………Localité :</w:t>
      </w:r>
      <w:r w:rsidRPr="009016B5">
        <w:rPr>
          <w:rFonts w:asciiTheme="minorHAnsi" w:hAnsiTheme="minorHAnsi" w:cs="Arial"/>
        </w:rPr>
        <w:tab/>
      </w:r>
    </w:p>
    <w:p w:rsidR="00694F7A" w:rsidRPr="009016B5" w:rsidRDefault="00694F7A" w:rsidP="00694F7A">
      <w:pPr>
        <w:pStyle w:val="Paragraphedeliste"/>
        <w:numPr>
          <w:ilvl w:val="1"/>
          <w:numId w:val="3"/>
        </w:numPr>
        <w:autoSpaceDE w:val="0"/>
        <w:autoSpaceDN w:val="0"/>
        <w:adjustRightInd w:val="0"/>
        <w:jc w:val="both"/>
        <w:rPr>
          <w:rFonts w:asciiTheme="minorHAnsi" w:hAnsiTheme="minorHAnsi" w:cs="Arial"/>
        </w:rPr>
      </w:pPr>
      <w:r w:rsidRPr="009016B5">
        <w:rPr>
          <w:rFonts w:asciiTheme="minorHAnsi" w:hAnsiTheme="minorHAnsi" w:cs="Arial"/>
        </w:rPr>
        <w:t xml:space="preserve">Pays : </w:t>
      </w:r>
    </w:p>
    <w:p w:rsidR="00694F7A" w:rsidRPr="009016B5" w:rsidRDefault="00694F7A" w:rsidP="00694F7A">
      <w:pPr>
        <w:pStyle w:val="Paragraphedeliste"/>
        <w:ind w:left="1506"/>
        <w:jc w:val="both"/>
        <w:rPr>
          <w:rFonts w:asciiTheme="minorHAnsi" w:hAnsiTheme="minorHAnsi" w:cs="Arial"/>
        </w:rPr>
      </w:pPr>
    </w:p>
    <w:p w:rsidR="00694F7A" w:rsidRPr="009016B5" w:rsidRDefault="00694F7A" w:rsidP="00694F7A">
      <w:pPr>
        <w:pStyle w:val="Paragraphedeliste"/>
        <w:numPr>
          <w:ilvl w:val="0"/>
          <w:numId w:val="9"/>
        </w:numPr>
        <w:autoSpaceDE w:val="0"/>
        <w:autoSpaceDN w:val="0"/>
        <w:adjustRightInd w:val="0"/>
        <w:jc w:val="both"/>
        <w:rPr>
          <w:rFonts w:asciiTheme="minorHAnsi" w:hAnsiTheme="minorHAnsi" w:cs="Arial"/>
          <w:b/>
          <w:bCs/>
          <w:i/>
          <w:iCs/>
        </w:rPr>
      </w:pPr>
      <w:r w:rsidRPr="009016B5">
        <w:rPr>
          <w:rFonts w:asciiTheme="minorHAnsi" w:hAnsiTheme="minorHAnsi" w:cs="Arial"/>
          <w:b/>
          <w:bCs/>
          <w:i/>
          <w:iCs/>
        </w:rPr>
        <w:t>Contact</w:t>
      </w:r>
      <w:r>
        <w:rPr>
          <w:rStyle w:val="Appelnotedebasdep"/>
          <w:rFonts w:asciiTheme="minorHAnsi" w:hAnsiTheme="minorHAnsi"/>
          <w:b/>
          <w:bCs/>
          <w:i/>
          <w:iCs/>
        </w:rPr>
        <w:footnoteReference w:id="1"/>
      </w:r>
    </w:p>
    <w:p w:rsidR="00694F7A" w:rsidRPr="009016B5" w:rsidRDefault="00694F7A" w:rsidP="00694F7A">
      <w:pPr>
        <w:pStyle w:val="Paragraphedeliste"/>
        <w:autoSpaceDE w:val="0"/>
        <w:autoSpaceDN w:val="0"/>
        <w:adjustRightInd w:val="0"/>
        <w:ind w:left="786"/>
        <w:jc w:val="both"/>
        <w:rPr>
          <w:rFonts w:asciiTheme="minorHAnsi" w:hAnsiTheme="minorHAnsi" w:cs="Arial"/>
          <w:b/>
          <w:bCs/>
          <w:i/>
          <w:iCs/>
        </w:rPr>
      </w:pPr>
    </w:p>
    <w:p w:rsidR="00694F7A" w:rsidRPr="009016B5" w:rsidRDefault="00694F7A" w:rsidP="00694F7A">
      <w:pPr>
        <w:pStyle w:val="Paragraphedeliste"/>
        <w:numPr>
          <w:ilvl w:val="0"/>
          <w:numId w:val="3"/>
        </w:numPr>
        <w:jc w:val="both"/>
        <w:rPr>
          <w:rFonts w:asciiTheme="minorHAnsi" w:hAnsiTheme="minorHAnsi" w:cs="Arial"/>
        </w:rPr>
      </w:pPr>
      <w:r w:rsidRPr="009016B5">
        <w:rPr>
          <w:rFonts w:asciiTheme="minorHAnsi" w:hAnsiTheme="minorHAnsi" w:cs="Arial"/>
        </w:rPr>
        <w:lastRenderedPageBreak/>
        <w:t>Nom : ……………………………………………..</w:t>
      </w:r>
    </w:p>
    <w:p w:rsidR="00694F7A" w:rsidRPr="009016B5" w:rsidRDefault="00694F7A" w:rsidP="00694F7A">
      <w:pPr>
        <w:pStyle w:val="Paragraphedeliste"/>
        <w:numPr>
          <w:ilvl w:val="0"/>
          <w:numId w:val="3"/>
        </w:numPr>
        <w:jc w:val="both"/>
        <w:rPr>
          <w:rFonts w:asciiTheme="minorHAnsi" w:hAnsiTheme="minorHAnsi" w:cs="Arial"/>
        </w:rPr>
      </w:pPr>
      <w:r w:rsidRPr="009016B5">
        <w:rPr>
          <w:rFonts w:asciiTheme="minorHAnsi" w:hAnsiTheme="minorHAnsi" w:cs="Arial"/>
        </w:rPr>
        <w:t>Prénom : ……………………………………………..</w:t>
      </w:r>
    </w:p>
    <w:p w:rsidR="00694F7A" w:rsidRPr="009016B5" w:rsidRDefault="00694F7A" w:rsidP="00694F7A">
      <w:pPr>
        <w:pStyle w:val="Paragraphedeliste"/>
        <w:numPr>
          <w:ilvl w:val="0"/>
          <w:numId w:val="3"/>
        </w:numPr>
        <w:jc w:val="both"/>
        <w:rPr>
          <w:rFonts w:asciiTheme="minorHAnsi" w:hAnsiTheme="minorHAnsi" w:cs="Arial"/>
        </w:rPr>
      </w:pPr>
      <w:r w:rsidRPr="009016B5">
        <w:rPr>
          <w:rFonts w:asciiTheme="minorHAnsi" w:hAnsiTheme="minorHAnsi" w:cs="Arial"/>
        </w:rPr>
        <w:t>Langue : ……………………..</w:t>
      </w:r>
    </w:p>
    <w:p w:rsidR="00694F7A" w:rsidRPr="009016B5" w:rsidRDefault="00694F7A" w:rsidP="00694F7A">
      <w:pPr>
        <w:pStyle w:val="Paragraphedeliste"/>
        <w:numPr>
          <w:ilvl w:val="0"/>
          <w:numId w:val="3"/>
        </w:numPr>
        <w:jc w:val="both"/>
        <w:rPr>
          <w:rFonts w:asciiTheme="minorHAnsi" w:hAnsiTheme="minorHAnsi" w:cs="Arial"/>
        </w:rPr>
      </w:pPr>
      <w:r w:rsidRPr="009016B5">
        <w:rPr>
          <w:rFonts w:asciiTheme="minorHAnsi" w:hAnsiTheme="minorHAnsi" w:cs="Arial"/>
        </w:rPr>
        <w:t>Tél</w:t>
      </w:r>
      <w:r>
        <w:rPr>
          <w:rFonts w:asciiTheme="minorHAnsi" w:hAnsiTheme="minorHAnsi" w:cs="Arial"/>
        </w:rPr>
        <w:t xml:space="preserve"> </w:t>
      </w:r>
      <w:r w:rsidRPr="009016B5">
        <w:rPr>
          <w:rFonts w:asciiTheme="minorHAnsi" w:hAnsiTheme="minorHAnsi" w:cs="Arial"/>
        </w:rPr>
        <w:t>: ……………………………………………..</w:t>
      </w:r>
    </w:p>
    <w:p w:rsidR="00694F7A" w:rsidRPr="009016B5" w:rsidRDefault="00694F7A" w:rsidP="00694F7A">
      <w:pPr>
        <w:pStyle w:val="Paragraphedeliste"/>
        <w:numPr>
          <w:ilvl w:val="0"/>
          <w:numId w:val="3"/>
        </w:numPr>
        <w:jc w:val="both"/>
        <w:rPr>
          <w:rFonts w:asciiTheme="minorHAnsi" w:hAnsiTheme="minorHAnsi" w:cs="Arial"/>
        </w:rPr>
      </w:pPr>
      <w:r w:rsidRPr="009016B5">
        <w:rPr>
          <w:rFonts w:asciiTheme="minorHAnsi" w:hAnsiTheme="minorHAnsi" w:cs="Arial"/>
        </w:rPr>
        <w:t>E-mail : ……………………………………………..</w:t>
      </w:r>
    </w:p>
    <w:p w:rsidR="00694F7A" w:rsidRPr="009016B5" w:rsidRDefault="00694F7A" w:rsidP="00694F7A">
      <w:pPr>
        <w:pStyle w:val="Paragraphedeliste"/>
        <w:numPr>
          <w:ilvl w:val="0"/>
          <w:numId w:val="3"/>
        </w:numPr>
        <w:jc w:val="both"/>
        <w:rPr>
          <w:rFonts w:asciiTheme="minorHAnsi" w:hAnsiTheme="minorHAnsi" w:cs="Arial"/>
        </w:rPr>
      </w:pPr>
      <w:r w:rsidRPr="009016B5">
        <w:rPr>
          <w:rFonts w:asciiTheme="minorHAnsi" w:hAnsiTheme="minorHAnsi" w:cs="Arial"/>
        </w:rPr>
        <w:t>Adresse</w:t>
      </w:r>
      <w:r>
        <w:rPr>
          <w:rFonts w:asciiTheme="minorHAnsi" w:hAnsiTheme="minorHAnsi" w:cs="Arial"/>
        </w:rPr>
        <w:t xml:space="preserve"> </w:t>
      </w:r>
      <w:r w:rsidRPr="009016B5">
        <w:rPr>
          <w:rFonts w:asciiTheme="minorHAnsi" w:hAnsiTheme="minorHAnsi" w:cs="Arial"/>
        </w:rPr>
        <w:t>:</w:t>
      </w:r>
    </w:p>
    <w:p w:rsidR="00694F7A" w:rsidRPr="009016B5" w:rsidRDefault="00694F7A" w:rsidP="00694F7A">
      <w:pPr>
        <w:pStyle w:val="Paragraphedeliste"/>
        <w:numPr>
          <w:ilvl w:val="1"/>
          <w:numId w:val="3"/>
        </w:numPr>
        <w:jc w:val="both"/>
        <w:rPr>
          <w:rFonts w:asciiTheme="minorHAnsi" w:hAnsiTheme="minorHAnsi" w:cs="Arial"/>
        </w:rPr>
      </w:pPr>
      <w:r w:rsidRPr="009016B5">
        <w:rPr>
          <w:rFonts w:asciiTheme="minorHAnsi" w:hAnsiTheme="minorHAnsi" w:cs="Arial"/>
        </w:rPr>
        <w:t xml:space="preserve">Rue: ……………………………………. N°: ........……Boîte : </w:t>
      </w:r>
    </w:p>
    <w:p w:rsidR="00694F7A" w:rsidRPr="009016B5" w:rsidRDefault="00694F7A" w:rsidP="00694F7A">
      <w:pPr>
        <w:pStyle w:val="Paragraphedeliste"/>
        <w:numPr>
          <w:ilvl w:val="1"/>
          <w:numId w:val="3"/>
        </w:numPr>
        <w:jc w:val="both"/>
        <w:rPr>
          <w:rFonts w:asciiTheme="minorHAnsi" w:hAnsiTheme="minorHAnsi" w:cs="Arial"/>
        </w:rPr>
      </w:pPr>
      <w:r w:rsidRPr="009016B5">
        <w:rPr>
          <w:rFonts w:asciiTheme="minorHAnsi" w:hAnsiTheme="minorHAnsi" w:cs="Arial"/>
        </w:rPr>
        <w:t>Code postal: ……………. Localité: …………………</w:t>
      </w:r>
    </w:p>
    <w:p w:rsidR="00694F7A" w:rsidRPr="009016B5" w:rsidRDefault="00694F7A" w:rsidP="00694F7A">
      <w:pPr>
        <w:pStyle w:val="Paragraphedeliste"/>
        <w:ind w:left="1428" w:firstLine="438"/>
        <w:jc w:val="both"/>
        <w:rPr>
          <w:rFonts w:asciiTheme="minorHAnsi" w:hAnsiTheme="minorHAnsi" w:cs="Arial"/>
        </w:rPr>
      </w:pPr>
      <w:r w:rsidRPr="009016B5">
        <w:rPr>
          <w:rFonts w:asciiTheme="minorHAnsi" w:hAnsiTheme="minorHAnsi" w:cs="Arial"/>
        </w:rPr>
        <w:t>c. Pays:……………</w:t>
      </w:r>
    </w:p>
    <w:p w:rsidR="00694F7A" w:rsidRPr="009016B5" w:rsidRDefault="00694F7A" w:rsidP="00694F7A">
      <w:pPr>
        <w:pStyle w:val="Paragraphedeliste"/>
        <w:autoSpaceDE w:val="0"/>
        <w:autoSpaceDN w:val="0"/>
        <w:adjustRightInd w:val="0"/>
        <w:spacing w:after="0" w:line="240" w:lineRule="auto"/>
        <w:ind w:left="1506"/>
        <w:jc w:val="both"/>
        <w:rPr>
          <w:rFonts w:asciiTheme="minorHAnsi" w:hAnsiTheme="minorHAnsi" w:cs="Arial"/>
        </w:rPr>
      </w:pPr>
    </w:p>
    <w:p w:rsidR="00694F7A" w:rsidRPr="009016B5" w:rsidRDefault="00694F7A" w:rsidP="00694F7A">
      <w:pPr>
        <w:pStyle w:val="Paragraphedeliste"/>
        <w:ind w:left="1440"/>
        <w:jc w:val="both"/>
        <w:rPr>
          <w:rFonts w:asciiTheme="minorHAnsi" w:hAnsiTheme="minorHAnsi" w:cs="Arial"/>
        </w:rPr>
      </w:pPr>
    </w:p>
    <w:p w:rsidR="00694F7A" w:rsidRPr="009016B5" w:rsidRDefault="00694F7A" w:rsidP="00694F7A">
      <w:pPr>
        <w:pStyle w:val="Paragraphedeliste"/>
        <w:numPr>
          <w:ilvl w:val="0"/>
          <w:numId w:val="9"/>
        </w:numPr>
        <w:jc w:val="both"/>
        <w:rPr>
          <w:rFonts w:asciiTheme="minorHAnsi" w:hAnsiTheme="minorHAnsi" w:cs="Arial"/>
          <w:b/>
          <w:bCs/>
          <w:i/>
          <w:iCs/>
        </w:rPr>
      </w:pPr>
      <w:r w:rsidRPr="009016B5">
        <w:rPr>
          <w:rFonts w:asciiTheme="minorHAnsi" w:hAnsiTheme="minorHAnsi" w:cs="Arial"/>
          <w:b/>
          <w:bCs/>
          <w:i/>
          <w:iCs/>
        </w:rPr>
        <w:t>Données de référence pour le calcul de la taxe conformément à l’annexe I</w:t>
      </w:r>
    </w:p>
    <w:p w:rsidR="00694F7A" w:rsidRPr="009016B5" w:rsidRDefault="00694F7A" w:rsidP="00694F7A">
      <w:pPr>
        <w:jc w:val="both"/>
        <w:rPr>
          <w:rFonts w:eastAsia="Calibri" w:cs="Arial"/>
          <w:b/>
          <w:bCs/>
          <w:i/>
          <w:iCs/>
        </w:rPr>
      </w:pPr>
      <w:r w:rsidRPr="009016B5">
        <w:rPr>
          <w:rFonts w:cs="Arial"/>
          <w:b/>
          <w:bCs/>
          <w:i/>
          <w:iCs/>
        </w:rPr>
        <w:br w:type="page"/>
      </w:r>
    </w:p>
    <w:tbl>
      <w:tblPr>
        <w:tblStyle w:val="Grilledutableau"/>
        <w:tblW w:w="0" w:type="auto"/>
        <w:tblInd w:w="0" w:type="dxa"/>
        <w:tblLayout w:type="fixed"/>
        <w:tblLook w:val="04A0" w:firstRow="1" w:lastRow="0" w:firstColumn="1" w:lastColumn="0" w:noHBand="0" w:noVBand="1"/>
      </w:tblPr>
      <w:tblGrid>
        <w:gridCol w:w="1809"/>
        <w:gridCol w:w="5387"/>
        <w:gridCol w:w="1843"/>
      </w:tblGrid>
      <w:tr w:rsidR="00694F7A" w:rsidRPr="009016B5" w:rsidTr="008A2B71">
        <w:trPr>
          <w:trHeight w:val="1128"/>
        </w:trPr>
        <w:tc>
          <w:tcPr>
            <w:tcW w:w="1809" w:type="dxa"/>
            <w:tcBorders>
              <w:top w:val="single" w:sz="4" w:space="0" w:color="auto"/>
              <w:left w:val="single" w:sz="4" w:space="0" w:color="auto"/>
              <w:bottom w:val="single" w:sz="4" w:space="0" w:color="auto"/>
              <w:right w:val="single" w:sz="4" w:space="0" w:color="auto"/>
            </w:tcBorders>
          </w:tcPr>
          <w:p w:rsidR="00694F7A" w:rsidRPr="00CB6A7B" w:rsidRDefault="00694F7A" w:rsidP="008A2B71">
            <w:pPr>
              <w:pStyle w:val="Paragraphedeliste"/>
              <w:ind w:left="0"/>
              <w:jc w:val="both"/>
              <w:rPr>
                <w:rFonts w:asciiTheme="minorHAnsi" w:hAnsiTheme="minorHAnsi" w:cs="Arial"/>
                <w:b/>
              </w:rPr>
            </w:pPr>
            <w:r w:rsidRPr="00CB6A7B">
              <w:rPr>
                <w:rFonts w:asciiTheme="minorHAnsi" w:hAnsiTheme="minorHAnsi" w:cs="Arial"/>
                <w:b/>
              </w:rPr>
              <w:lastRenderedPageBreak/>
              <w:t>Référence dans l’annexe I</w:t>
            </w:r>
          </w:p>
          <w:p w:rsidR="00694F7A" w:rsidRPr="009016B5" w:rsidRDefault="00694F7A" w:rsidP="008A2B71">
            <w:pPr>
              <w:pStyle w:val="Paragraphedeliste"/>
              <w:ind w:left="0"/>
              <w:jc w:val="both"/>
              <w:rPr>
                <w:rFonts w:asciiTheme="minorHAnsi" w:hAnsiTheme="minorHAnsi" w:cs="Arial"/>
              </w:rPr>
            </w:pPr>
            <w:r w:rsidRPr="009016B5">
              <w:rPr>
                <w:rFonts w:asciiTheme="minorHAnsi" w:hAnsiTheme="minorHAnsi" w:cs="Arial"/>
              </w:rPr>
              <w:t xml:space="preserve"> </w:t>
            </w:r>
          </w:p>
        </w:tc>
        <w:tc>
          <w:tcPr>
            <w:tcW w:w="5387" w:type="dxa"/>
            <w:tcBorders>
              <w:top w:val="single" w:sz="4" w:space="0" w:color="auto"/>
              <w:left w:val="single" w:sz="4" w:space="0" w:color="auto"/>
              <w:bottom w:val="single" w:sz="4" w:space="0" w:color="auto"/>
              <w:right w:val="single" w:sz="4" w:space="0" w:color="auto"/>
            </w:tcBorders>
          </w:tcPr>
          <w:p w:rsidR="00694F7A" w:rsidRDefault="00694F7A" w:rsidP="008A2B71">
            <w:pPr>
              <w:pStyle w:val="Paragraphedeliste"/>
              <w:ind w:left="0"/>
              <w:jc w:val="both"/>
              <w:rPr>
                <w:rFonts w:asciiTheme="minorHAnsi" w:hAnsiTheme="minorHAnsi" w:cs="Arial"/>
              </w:rPr>
            </w:pPr>
          </w:p>
          <w:p w:rsidR="00694F7A" w:rsidRPr="00CB6A7B" w:rsidRDefault="00694F7A" w:rsidP="008A2B71">
            <w:pPr>
              <w:pStyle w:val="Paragraphedeliste"/>
              <w:ind w:left="0"/>
              <w:jc w:val="center"/>
              <w:rPr>
                <w:rFonts w:asciiTheme="minorHAnsi" w:hAnsiTheme="minorHAnsi" w:cs="Arial"/>
                <w:b/>
              </w:rPr>
            </w:pPr>
            <w:r w:rsidRPr="00CB6A7B">
              <w:rPr>
                <w:rFonts w:asciiTheme="minorHAnsi" w:hAnsiTheme="minorHAnsi" w:cs="Arial"/>
                <w:b/>
              </w:rPr>
              <w:t>Types de déchets</w:t>
            </w:r>
          </w:p>
        </w:tc>
        <w:tc>
          <w:tcPr>
            <w:tcW w:w="1843" w:type="dxa"/>
            <w:tcBorders>
              <w:top w:val="single" w:sz="4" w:space="0" w:color="auto"/>
              <w:left w:val="single" w:sz="4" w:space="0" w:color="auto"/>
              <w:bottom w:val="single" w:sz="4" w:space="0" w:color="auto"/>
              <w:right w:val="single" w:sz="4" w:space="0" w:color="auto"/>
            </w:tcBorders>
            <w:hideMark/>
          </w:tcPr>
          <w:p w:rsidR="00694F7A" w:rsidRPr="009016B5" w:rsidRDefault="00694F7A" w:rsidP="008A2B71">
            <w:pPr>
              <w:pStyle w:val="Paragraphedeliste"/>
              <w:ind w:left="0"/>
              <w:jc w:val="both"/>
              <w:rPr>
                <w:rFonts w:asciiTheme="minorHAnsi" w:hAnsiTheme="minorHAnsi" w:cs="Arial"/>
              </w:rPr>
            </w:pPr>
            <w:r w:rsidRPr="00CB6A7B">
              <w:rPr>
                <w:rFonts w:asciiTheme="minorHAnsi" w:hAnsiTheme="minorHAnsi" w:cs="Arial"/>
                <w:b/>
              </w:rPr>
              <w:t>Tonnage de l’exercice précédent</w:t>
            </w:r>
            <w:r w:rsidRPr="009016B5">
              <w:rPr>
                <w:rFonts w:asciiTheme="minorHAnsi" w:hAnsiTheme="minorHAnsi" w:cs="Arial"/>
              </w:rPr>
              <w:t xml:space="preserve"> </w:t>
            </w:r>
            <w:r>
              <w:rPr>
                <w:rFonts w:asciiTheme="minorHAnsi" w:hAnsiTheme="minorHAnsi" w:cs="Arial"/>
              </w:rPr>
              <w:t>(</w:t>
            </w:r>
            <w:r w:rsidRPr="009016B5">
              <w:rPr>
                <w:rFonts w:asciiTheme="minorHAnsi" w:hAnsiTheme="minorHAnsi" w:cs="Arial"/>
              </w:rPr>
              <w:t>du 01/01 au 31/12</w:t>
            </w:r>
            <w:r>
              <w:rPr>
                <w:rFonts w:asciiTheme="minorHAnsi" w:hAnsiTheme="minorHAnsi" w:cs="Arial"/>
              </w:rPr>
              <w:t>)</w:t>
            </w:r>
          </w:p>
        </w:tc>
      </w:tr>
      <w:tr w:rsidR="00694F7A" w:rsidRPr="009016B5" w:rsidTr="008A2B71">
        <w:tc>
          <w:tcPr>
            <w:tcW w:w="1809" w:type="dxa"/>
            <w:tcBorders>
              <w:top w:val="single" w:sz="4" w:space="0" w:color="auto"/>
              <w:left w:val="single" w:sz="4" w:space="0" w:color="auto"/>
              <w:bottom w:val="single" w:sz="4" w:space="0" w:color="auto"/>
              <w:right w:val="single" w:sz="4" w:space="0" w:color="auto"/>
            </w:tcBorders>
          </w:tcPr>
          <w:p w:rsidR="00694F7A" w:rsidRPr="009016B5" w:rsidRDefault="00694F7A" w:rsidP="008A2B71">
            <w:pPr>
              <w:jc w:val="both"/>
              <w:rPr>
                <w:rFonts w:cs="Arial"/>
              </w:rPr>
            </w:pPr>
            <w:r w:rsidRPr="009016B5">
              <w:rPr>
                <w:rFonts w:cs="Arial"/>
              </w:rPr>
              <w:t>A</w:t>
            </w:r>
          </w:p>
          <w:p w:rsidR="00694F7A" w:rsidRPr="009016B5" w:rsidRDefault="00694F7A" w:rsidP="008A2B71">
            <w:pPr>
              <w:jc w:val="both"/>
              <w:rPr>
                <w:rFonts w:cs="Arial"/>
              </w:rPr>
            </w:pPr>
          </w:p>
        </w:tc>
        <w:tc>
          <w:tcPr>
            <w:tcW w:w="5387" w:type="dxa"/>
            <w:tcBorders>
              <w:top w:val="single" w:sz="4" w:space="0" w:color="auto"/>
              <w:left w:val="single" w:sz="4" w:space="0" w:color="auto"/>
              <w:bottom w:val="single" w:sz="4" w:space="0" w:color="auto"/>
              <w:right w:val="single" w:sz="4" w:space="0" w:color="auto"/>
            </w:tcBorders>
            <w:hideMark/>
          </w:tcPr>
          <w:p w:rsidR="00694F7A" w:rsidRPr="009016B5" w:rsidRDefault="00694F7A" w:rsidP="008A2B71">
            <w:pPr>
              <w:jc w:val="both"/>
              <w:rPr>
                <w:rFonts w:cs="Arial"/>
              </w:rPr>
            </w:pPr>
            <w:r w:rsidRPr="009016B5">
              <w:rPr>
                <w:rFonts w:cs="Arial"/>
              </w:rPr>
              <w:t>Tonnage (en tonne) des déchets ménagers collectés non sélectivement par l’Agence, en porte à porte, par lève-conteneurs et autres déchets incinérables considérés comme tout venant et incinérés. Ces déchets ne comprennent pas les déchets de nettoyage des rues, déchets provenant des poubelles publiques et les déchets abandonnés qui ne peuvent être attribués au détenteur de déchets et qui sont incinérés.</w:t>
            </w:r>
          </w:p>
        </w:tc>
        <w:tc>
          <w:tcPr>
            <w:tcW w:w="1843" w:type="dxa"/>
            <w:tcBorders>
              <w:top w:val="single" w:sz="4" w:space="0" w:color="auto"/>
              <w:left w:val="single" w:sz="4" w:space="0" w:color="auto"/>
              <w:bottom w:val="single" w:sz="4" w:space="0" w:color="auto"/>
              <w:right w:val="single" w:sz="4" w:space="0" w:color="auto"/>
            </w:tcBorders>
          </w:tcPr>
          <w:p w:rsidR="00694F7A" w:rsidRPr="009016B5" w:rsidRDefault="00694F7A" w:rsidP="008A2B71">
            <w:pPr>
              <w:pStyle w:val="Paragraphedeliste"/>
              <w:ind w:left="0"/>
              <w:jc w:val="right"/>
              <w:rPr>
                <w:rFonts w:asciiTheme="minorHAnsi" w:hAnsiTheme="minorHAnsi" w:cs="Arial"/>
              </w:rPr>
            </w:pPr>
            <w:r>
              <w:rPr>
                <w:rFonts w:asciiTheme="minorHAnsi" w:hAnsiTheme="minorHAnsi" w:cs="Arial"/>
              </w:rPr>
              <w:t>Tonnes</w:t>
            </w:r>
          </w:p>
        </w:tc>
      </w:tr>
      <w:tr w:rsidR="00694F7A" w:rsidRPr="009016B5" w:rsidTr="008A2B71">
        <w:tc>
          <w:tcPr>
            <w:tcW w:w="1809" w:type="dxa"/>
            <w:tcBorders>
              <w:top w:val="single" w:sz="4" w:space="0" w:color="auto"/>
              <w:left w:val="single" w:sz="4" w:space="0" w:color="auto"/>
              <w:bottom w:val="single" w:sz="4" w:space="0" w:color="auto"/>
              <w:right w:val="single" w:sz="4" w:space="0" w:color="auto"/>
            </w:tcBorders>
          </w:tcPr>
          <w:p w:rsidR="00694F7A" w:rsidRPr="009016B5" w:rsidRDefault="00694F7A" w:rsidP="008A2B71">
            <w:pPr>
              <w:jc w:val="both"/>
              <w:rPr>
                <w:rFonts w:cs="Arial"/>
              </w:rPr>
            </w:pPr>
            <w:r w:rsidRPr="009016B5">
              <w:rPr>
                <w:rFonts w:cs="Arial"/>
              </w:rPr>
              <w:t>B</w:t>
            </w:r>
          </w:p>
          <w:p w:rsidR="00694F7A" w:rsidRPr="009016B5" w:rsidRDefault="00694F7A" w:rsidP="008A2B71">
            <w:pPr>
              <w:jc w:val="both"/>
              <w:rPr>
                <w:rFonts w:cs="Arial"/>
              </w:rPr>
            </w:pPr>
          </w:p>
        </w:tc>
        <w:tc>
          <w:tcPr>
            <w:tcW w:w="5387" w:type="dxa"/>
            <w:tcBorders>
              <w:top w:val="single" w:sz="4" w:space="0" w:color="auto"/>
              <w:left w:val="single" w:sz="4" w:space="0" w:color="auto"/>
              <w:bottom w:val="single" w:sz="4" w:space="0" w:color="auto"/>
              <w:right w:val="single" w:sz="4" w:space="0" w:color="auto"/>
            </w:tcBorders>
            <w:hideMark/>
          </w:tcPr>
          <w:p w:rsidR="00694F7A" w:rsidRPr="009016B5" w:rsidRDefault="00694F7A" w:rsidP="008A2B71">
            <w:pPr>
              <w:jc w:val="both"/>
              <w:rPr>
                <w:rFonts w:cs="Arial"/>
              </w:rPr>
            </w:pPr>
            <w:r w:rsidRPr="009016B5">
              <w:rPr>
                <w:rFonts w:cs="Arial"/>
              </w:rPr>
              <w:t>Total (en Tonnes) des déchets ménagers collectés* sélectivement par l’Agence</w:t>
            </w:r>
            <w:r w:rsidRPr="009016B5" w:rsidDel="00D260D9">
              <w:rPr>
                <w:rFonts w:cs="Arial"/>
              </w:rPr>
              <w:t xml:space="preserve"> </w:t>
            </w:r>
          </w:p>
        </w:tc>
        <w:tc>
          <w:tcPr>
            <w:tcW w:w="1843" w:type="dxa"/>
            <w:tcBorders>
              <w:top w:val="single" w:sz="4" w:space="0" w:color="auto"/>
              <w:left w:val="single" w:sz="4" w:space="0" w:color="auto"/>
              <w:bottom w:val="single" w:sz="4" w:space="0" w:color="auto"/>
              <w:right w:val="single" w:sz="4" w:space="0" w:color="auto"/>
            </w:tcBorders>
          </w:tcPr>
          <w:p w:rsidR="00694F7A" w:rsidRPr="009016B5" w:rsidRDefault="00694F7A" w:rsidP="008A2B71">
            <w:pPr>
              <w:pStyle w:val="Paragraphedeliste"/>
              <w:ind w:left="0"/>
              <w:jc w:val="right"/>
              <w:rPr>
                <w:rFonts w:asciiTheme="minorHAnsi" w:hAnsiTheme="minorHAnsi" w:cs="Arial"/>
              </w:rPr>
            </w:pPr>
            <w:r>
              <w:rPr>
                <w:rFonts w:asciiTheme="minorHAnsi" w:hAnsiTheme="minorHAnsi" w:cs="Arial"/>
              </w:rPr>
              <w:t>Tonnes</w:t>
            </w:r>
          </w:p>
        </w:tc>
      </w:tr>
      <w:tr w:rsidR="00694F7A" w:rsidRPr="009016B5" w:rsidTr="008A2B71">
        <w:tc>
          <w:tcPr>
            <w:tcW w:w="1809" w:type="dxa"/>
            <w:tcBorders>
              <w:top w:val="single" w:sz="4" w:space="0" w:color="auto"/>
              <w:left w:val="single" w:sz="4" w:space="0" w:color="auto"/>
              <w:bottom w:val="single" w:sz="4" w:space="0" w:color="auto"/>
              <w:right w:val="single" w:sz="4" w:space="0" w:color="auto"/>
            </w:tcBorders>
          </w:tcPr>
          <w:p w:rsidR="00694F7A" w:rsidRPr="009016B5" w:rsidRDefault="00694F7A" w:rsidP="008A2B71">
            <w:pPr>
              <w:jc w:val="both"/>
              <w:rPr>
                <w:rFonts w:cs="Arial"/>
              </w:rPr>
            </w:pPr>
            <w:r w:rsidRPr="009016B5">
              <w:rPr>
                <w:rFonts w:cs="Arial"/>
              </w:rPr>
              <w:t>C</w:t>
            </w:r>
            <w:r w:rsidRPr="009016B5">
              <w:rPr>
                <w:rStyle w:val="Appelnotedebasdep"/>
                <w:rFonts w:cs="Arial"/>
              </w:rPr>
              <w:footnoteReference w:id="2"/>
            </w:r>
          </w:p>
          <w:p w:rsidR="00694F7A" w:rsidRPr="009016B5" w:rsidRDefault="00694F7A" w:rsidP="008A2B71">
            <w:pPr>
              <w:jc w:val="both"/>
              <w:rPr>
                <w:rFonts w:cs="Arial"/>
              </w:rPr>
            </w:pPr>
          </w:p>
        </w:tc>
        <w:tc>
          <w:tcPr>
            <w:tcW w:w="5387" w:type="dxa"/>
            <w:tcBorders>
              <w:top w:val="single" w:sz="4" w:space="0" w:color="auto"/>
              <w:left w:val="single" w:sz="4" w:space="0" w:color="auto"/>
              <w:bottom w:val="single" w:sz="4" w:space="0" w:color="auto"/>
              <w:right w:val="single" w:sz="4" w:space="0" w:color="auto"/>
            </w:tcBorders>
            <w:hideMark/>
          </w:tcPr>
          <w:p w:rsidR="00694F7A" w:rsidRPr="009016B5" w:rsidRDefault="00694F7A" w:rsidP="008A2B71">
            <w:pPr>
              <w:jc w:val="both"/>
              <w:rPr>
                <w:rFonts w:cs="Arial"/>
              </w:rPr>
            </w:pPr>
            <w:r w:rsidRPr="009016B5">
              <w:rPr>
                <w:rFonts w:cs="Arial"/>
              </w:rPr>
              <w:t xml:space="preserve">Déchets collectés sélectivement par les </w:t>
            </w:r>
            <w:r w:rsidRPr="009016B5">
              <w:rPr>
                <w:rFonts w:eastAsia="Times New Roman" w:cs="Arial"/>
                <w:bCs/>
                <w:lang w:eastAsia="fr-BE"/>
              </w:rPr>
              <w:t>entreprises à finalité sociale</w:t>
            </w:r>
            <w:r w:rsidRPr="009016B5">
              <w:rPr>
                <w:rFonts w:cs="Arial"/>
              </w:rPr>
              <w:t>, en vue de leur réemploi ou de leur recyclage</w:t>
            </w:r>
          </w:p>
        </w:tc>
        <w:tc>
          <w:tcPr>
            <w:tcW w:w="1843" w:type="dxa"/>
            <w:tcBorders>
              <w:top w:val="single" w:sz="4" w:space="0" w:color="auto"/>
              <w:left w:val="single" w:sz="4" w:space="0" w:color="auto"/>
              <w:bottom w:val="single" w:sz="4" w:space="0" w:color="auto"/>
              <w:right w:val="single" w:sz="4" w:space="0" w:color="auto"/>
            </w:tcBorders>
          </w:tcPr>
          <w:p w:rsidR="00694F7A" w:rsidRPr="009016B5" w:rsidRDefault="00694F7A" w:rsidP="008A2B71">
            <w:pPr>
              <w:pStyle w:val="Paragraphedeliste"/>
              <w:ind w:left="0"/>
              <w:jc w:val="right"/>
              <w:rPr>
                <w:rFonts w:asciiTheme="minorHAnsi" w:hAnsiTheme="minorHAnsi" w:cs="Arial"/>
              </w:rPr>
            </w:pPr>
            <w:r>
              <w:rPr>
                <w:rFonts w:asciiTheme="minorHAnsi" w:hAnsiTheme="minorHAnsi" w:cs="Arial"/>
              </w:rPr>
              <w:t>Tonnes</w:t>
            </w:r>
          </w:p>
        </w:tc>
      </w:tr>
      <w:tr w:rsidR="00694F7A" w:rsidRPr="009016B5" w:rsidTr="008A2B71">
        <w:tc>
          <w:tcPr>
            <w:tcW w:w="1809" w:type="dxa"/>
            <w:tcBorders>
              <w:top w:val="single" w:sz="4" w:space="0" w:color="auto"/>
              <w:left w:val="single" w:sz="4" w:space="0" w:color="auto"/>
              <w:bottom w:val="single" w:sz="4" w:space="0" w:color="auto"/>
              <w:right w:val="single" w:sz="4" w:space="0" w:color="auto"/>
            </w:tcBorders>
          </w:tcPr>
          <w:p w:rsidR="00694F7A" w:rsidRPr="009016B5" w:rsidRDefault="00694F7A" w:rsidP="008A2B71">
            <w:pPr>
              <w:jc w:val="both"/>
              <w:rPr>
                <w:rFonts w:cs="Arial"/>
              </w:rPr>
            </w:pPr>
            <w:r w:rsidRPr="009016B5">
              <w:rPr>
                <w:rFonts w:cs="Arial"/>
              </w:rPr>
              <w:t>D</w:t>
            </w:r>
            <w:r w:rsidRPr="009016B5">
              <w:rPr>
                <w:rStyle w:val="Appelnotedebasdep"/>
                <w:rFonts w:cs="Arial"/>
              </w:rPr>
              <w:footnoteReference w:id="3"/>
            </w:r>
          </w:p>
          <w:p w:rsidR="00694F7A" w:rsidRPr="009016B5" w:rsidRDefault="00694F7A" w:rsidP="008A2B71">
            <w:pPr>
              <w:jc w:val="both"/>
              <w:rPr>
                <w:rFonts w:cs="Arial"/>
              </w:rPr>
            </w:pPr>
          </w:p>
        </w:tc>
        <w:tc>
          <w:tcPr>
            <w:tcW w:w="5387" w:type="dxa"/>
            <w:tcBorders>
              <w:top w:val="single" w:sz="4" w:space="0" w:color="auto"/>
              <w:left w:val="single" w:sz="4" w:space="0" w:color="auto"/>
              <w:bottom w:val="single" w:sz="4" w:space="0" w:color="auto"/>
              <w:right w:val="single" w:sz="4" w:space="0" w:color="auto"/>
            </w:tcBorders>
            <w:hideMark/>
          </w:tcPr>
          <w:p w:rsidR="00694F7A" w:rsidRPr="009016B5" w:rsidRDefault="00694F7A" w:rsidP="008A2B71">
            <w:pPr>
              <w:jc w:val="both"/>
              <w:rPr>
                <w:rFonts w:cs="Arial"/>
              </w:rPr>
            </w:pPr>
            <w:r w:rsidRPr="009016B5">
              <w:rPr>
                <w:rFonts w:cs="Arial"/>
              </w:rPr>
              <w:t>Déchets collectés sélectivement par les communes en vue de leur réemploi ou de leur recyclage</w:t>
            </w:r>
          </w:p>
        </w:tc>
        <w:tc>
          <w:tcPr>
            <w:tcW w:w="1843" w:type="dxa"/>
            <w:tcBorders>
              <w:top w:val="single" w:sz="4" w:space="0" w:color="auto"/>
              <w:left w:val="single" w:sz="4" w:space="0" w:color="auto"/>
              <w:bottom w:val="single" w:sz="4" w:space="0" w:color="auto"/>
              <w:right w:val="single" w:sz="4" w:space="0" w:color="auto"/>
            </w:tcBorders>
          </w:tcPr>
          <w:p w:rsidR="00694F7A" w:rsidRPr="009016B5" w:rsidRDefault="00694F7A" w:rsidP="008A2B71">
            <w:pPr>
              <w:pStyle w:val="Paragraphedeliste"/>
              <w:ind w:left="0"/>
              <w:jc w:val="right"/>
              <w:rPr>
                <w:rFonts w:asciiTheme="minorHAnsi" w:hAnsiTheme="minorHAnsi" w:cs="Arial"/>
              </w:rPr>
            </w:pPr>
            <w:r>
              <w:rPr>
                <w:rFonts w:asciiTheme="minorHAnsi" w:hAnsiTheme="minorHAnsi" w:cs="Arial"/>
              </w:rPr>
              <w:t>Tonnes</w:t>
            </w:r>
          </w:p>
        </w:tc>
      </w:tr>
      <w:tr w:rsidR="00694F7A" w:rsidRPr="009016B5" w:rsidTr="008A2B71">
        <w:tc>
          <w:tcPr>
            <w:tcW w:w="1809" w:type="dxa"/>
            <w:tcBorders>
              <w:top w:val="single" w:sz="4" w:space="0" w:color="auto"/>
              <w:left w:val="single" w:sz="4" w:space="0" w:color="auto"/>
              <w:bottom w:val="single" w:sz="4" w:space="0" w:color="auto"/>
              <w:right w:val="single" w:sz="4" w:space="0" w:color="auto"/>
            </w:tcBorders>
          </w:tcPr>
          <w:p w:rsidR="00694F7A" w:rsidRPr="009016B5" w:rsidRDefault="00694F7A" w:rsidP="008A2B71">
            <w:pPr>
              <w:jc w:val="both"/>
              <w:rPr>
                <w:rFonts w:cs="Arial"/>
              </w:rPr>
            </w:pPr>
            <w:r w:rsidRPr="009016B5">
              <w:rPr>
                <w:rFonts w:cs="Arial"/>
              </w:rPr>
              <w:t>E</w:t>
            </w:r>
            <w:r w:rsidRPr="009016B5">
              <w:rPr>
                <w:rStyle w:val="Appelnotedebasdep"/>
                <w:rFonts w:cs="Arial"/>
              </w:rPr>
              <w:footnoteReference w:id="4"/>
            </w:r>
          </w:p>
          <w:p w:rsidR="00694F7A" w:rsidRPr="009016B5" w:rsidRDefault="00694F7A" w:rsidP="008A2B71">
            <w:pPr>
              <w:jc w:val="both"/>
              <w:rPr>
                <w:rFonts w:cs="Arial"/>
              </w:rPr>
            </w:pPr>
          </w:p>
        </w:tc>
        <w:tc>
          <w:tcPr>
            <w:tcW w:w="5387" w:type="dxa"/>
            <w:tcBorders>
              <w:top w:val="single" w:sz="4" w:space="0" w:color="auto"/>
              <w:left w:val="single" w:sz="4" w:space="0" w:color="auto"/>
              <w:bottom w:val="single" w:sz="4" w:space="0" w:color="auto"/>
              <w:right w:val="single" w:sz="4" w:space="0" w:color="auto"/>
            </w:tcBorders>
            <w:hideMark/>
          </w:tcPr>
          <w:p w:rsidR="00694F7A" w:rsidRPr="009016B5" w:rsidRDefault="00694F7A" w:rsidP="008A2B71">
            <w:pPr>
              <w:jc w:val="both"/>
              <w:rPr>
                <w:rFonts w:cs="Arial"/>
              </w:rPr>
            </w:pPr>
            <w:r w:rsidRPr="009016B5">
              <w:rPr>
                <w:rFonts w:cs="Arial"/>
              </w:rPr>
              <w:t xml:space="preserve">Déchets ménagers collectés par les détaillants sur le territoire de la Région dans le cadre de la responsabilité élargie du producteur (y compris les quantités collectées par le redevable, les communes et les entreprises à finalité sociale) </w:t>
            </w:r>
          </w:p>
        </w:tc>
        <w:tc>
          <w:tcPr>
            <w:tcW w:w="1843" w:type="dxa"/>
            <w:tcBorders>
              <w:top w:val="single" w:sz="4" w:space="0" w:color="auto"/>
              <w:left w:val="single" w:sz="4" w:space="0" w:color="auto"/>
              <w:bottom w:val="single" w:sz="4" w:space="0" w:color="auto"/>
              <w:right w:val="single" w:sz="4" w:space="0" w:color="auto"/>
            </w:tcBorders>
          </w:tcPr>
          <w:p w:rsidR="00694F7A" w:rsidRPr="009016B5" w:rsidRDefault="00694F7A" w:rsidP="008A2B71">
            <w:pPr>
              <w:pStyle w:val="Paragraphedeliste"/>
              <w:ind w:left="0"/>
              <w:jc w:val="right"/>
              <w:rPr>
                <w:rFonts w:asciiTheme="minorHAnsi" w:hAnsiTheme="minorHAnsi" w:cs="Arial"/>
              </w:rPr>
            </w:pPr>
            <w:r>
              <w:rPr>
                <w:rFonts w:asciiTheme="minorHAnsi" w:hAnsiTheme="minorHAnsi" w:cs="Arial"/>
              </w:rPr>
              <w:t>Tonnes</w:t>
            </w:r>
          </w:p>
        </w:tc>
      </w:tr>
      <w:tr w:rsidR="00694F7A" w:rsidRPr="009016B5" w:rsidTr="008A2B71">
        <w:tc>
          <w:tcPr>
            <w:tcW w:w="1809" w:type="dxa"/>
            <w:tcBorders>
              <w:top w:val="single" w:sz="4" w:space="0" w:color="auto"/>
              <w:left w:val="single" w:sz="4" w:space="0" w:color="auto"/>
              <w:bottom w:val="single" w:sz="4" w:space="0" w:color="auto"/>
              <w:right w:val="single" w:sz="4" w:space="0" w:color="auto"/>
            </w:tcBorders>
          </w:tcPr>
          <w:p w:rsidR="00694F7A" w:rsidRPr="009016B5" w:rsidRDefault="00694F7A" w:rsidP="008A2B71">
            <w:pPr>
              <w:jc w:val="both"/>
              <w:rPr>
                <w:rFonts w:cs="Arial"/>
              </w:rPr>
            </w:pPr>
            <w:r w:rsidRPr="009016B5">
              <w:rPr>
                <w:rFonts w:cs="Arial"/>
              </w:rPr>
              <w:t>F</w:t>
            </w:r>
            <w:r w:rsidRPr="009016B5">
              <w:rPr>
                <w:rStyle w:val="Appelnotedebasdep"/>
                <w:rFonts w:cs="Arial"/>
              </w:rPr>
              <w:footnoteReference w:id="5"/>
            </w:r>
          </w:p>
          <w:p w:rsidR="00694F7A" w:rsidRPr="009016B5" w:rsidRDefault="00694F7A" w:rsidP="008A2B71">
            <w:pPr>
              <w:jc w:val="both"/>
              <w:rPr>
                <w:rFonts w:cs="Arial"/>
              </w:rPr>
            </w:pPr>
          </w:p>
        </w:tc>
        <w:tc>
          <w:tcPr>
            <w:tcW w:w="5387" w:type="dxa"/>
            <w:tcBorders>
              <w:top w:val="single" w:sz="4" w:space="0" w:color="auto"/>
              <w:left w:val="single" w:sz="4" w:space="0" w:color="auto"/>
              <w:bottom w:val="single" w:sz="4" w:space="0" w:color="auto"/>
              <w:right w:val="single" w:sz="4" w:space="0" w:color="auto"/>
            </w:tcBorders>
            <w:hideMark/>
          </w:tcPr>
          <w:p w:rsidR="00694F7A" w:rsidRPr="009016B5" w:rsidRDefault="00694F7A" w:rsidP="008A2B71">
            <w:pPr>
              <w:jc w:val="both"/>
              <w:rPr>
                <w:rFonts w:cs="Arial"/>
              </w:rPr>
            </w:pPr>
            <w:r w:rsidRPr="009016B5">
              <w:rPr>
                <w:rFonts w:cs="Arial"/>
              </w:rPr>
              <w:t>Déchets organiques traités dans des centres de compostages de quartier</w:t>
            </w:r>
          </w:p>
        </w:tc>
        <w:tc>
          <w:tcPr>
            <w:tcW w:w="1843" w:type="dxa"/>
            <w:tcBorders>
              <w:top w:val="single" w:sz="4" w:space="0" w:color="auto"/>
              <w:left w:val="single" w:sz="4" w:space="0" w:color="auto"/>
              <w:bottom w:val="single" w:sz="4" w:space="0" w:color="auto"/>
              <w:right w:val="single" w:sz="4" w:space="0" w:color="auto"/>
            </w:tcBorders>
          </w:tcPr>
          <w:p w:rsidR="00694F7A" w:rsidRPr="009016B5" w:rsidRDefault="00694F7A" w:rsidP="008A2B71">
            <w:pPr>
              <w:pStyle w:val="Paragraphedeliste"/>
              <w:ind w:left="0"/>
              <w:jc w:val="right"/>
              <w:rPr>
                <w:rFonts w:asciiTheme="minorHAnsi" w:hAnsiTheme="minorHAnsi" w:cs="Arial"/>
              </w:rPr>
            </w:pPr>
            <w:r>
              <w:rPr>
                <w:rFonts w:asciiTheme="minorHAnsi" w:hAnsiTheme="minorHAnsi" w:cs="Arial"/>
              </w:rPr>
              <w:t>Tonnes</w:t>
            </w:r>
          </w:p>
        </w:tc>
      </w:tr>
      <w:tr w:rsidR="00694F7A" w:rsidRPr="009016B5" w:rsidTr="008A2B71">
        <w:tc>
          <w:tcPr>
            <w:tcW w:w="1809" w:type="dxa"/>
            <w:tcBorders>
              <w:top w:val="single" w:sz="4" w:space="0" w:color="auto"/>
              <w:left w:val="single" w:sz="4" w:space="0" w:color="auto"/>
              <w:bottom w:val="single" w:sz="4" w:space="0" w:color="auto"/>
              <w:right w:val="single" w:sz="4" w:space="0" w:color="auto"/>
            </w:tcBorders>
          </w:tcPr>
          <w:p w:rsidR="00694F7A" w:rsidRPr="00CB6A7B" w:rsidRDefault="00694F7A" w:rsidP="008A2B71">
            <w:pPr>
              <w:jc w:val="both"/>
              <w:rPr>
                <w:rFonts w:cs="Arial"/>
                <w:b/>
              </w:rPr>
            </w:pPr>
            <w:r w:rsidRPr="00DF1FE0">
              <w:rPr>
                <w:rFonts w:cs="Arial"/>
              </w:rPr>
              <w:t>Ti</w:t>
            </w:r>
          </w:p>
        </w:tc>
        <w:tc>
          <w:tcPr>
            <w:tcW w:w="5387" w:type="dxa"/>
            <w:tcBorders>
              <w:top w:val="single" w:sz="4" w:space="0" w:color="auto"/>
              <w:left w:val="single" w:sz="4" w:space="0" w:color="auto"/>
              <w:bottom w:val="single" w:sz="4" w:space="0" w:color="auto"/>
              <w:right w:val="single" w:sz="4" w:space="0" w:color="auto"/>
            </w:tcBorders>
            <w:hideMark/>
          </w:tcPr>
          <w:p w:rsidR="00694F7A" w:rsidRPr="009016B5" w:rsidRDefault="00694F7A" w:rsidP="008A2B71">
            <w:pPr>
              <w:jc w:val="both"/>
              <w:rPr>
                <w:rFonts w:cs="Arial"/>
                <w:b/>
              </w:rPr>
            </w:pPr>
            <w:r>
              <w:rPr>
                <w:rFonts w:cs="Arial"/>
              </w:rPr>
              <w:t>Pourcentage de déchets incinérés</w:t>
            </w:r>
            <w:r w:rsidRPr="009016B5">
              <w:rPr>
                <w:rFonts w:cs="Arial"/>
              </w:rPr>
              <w:t xml:space="preserve"> de l’année de l’exercice d’imposition considéré Ti = A/(A+G)</w:t>
            </w:r>
          </w:p>
        </w:tc>
        <w:tc>
          <w:tcPr>
            <w:tcW w:w="1843" w:type="dxa"/>
            <w:tcBorders>
              <w:top w:val="single" w:sz="4" w:space="0" w:color="auto"/>
              <w:left w:val="single" w:sz="4" w:space="0" w:color="auto"/>
              <w:bottom w:val="single" w:sz="4" w:space="0" w:color="auto"/>
              <w:right w:val="single" w:sz="4" w:space="0" w:color="auto"/>
            </w:tcBorders>
          </w:tcPr>
          <w:p w:rsidR="00694F7A" w:rsidRPr="009016B5" w:rsidRDefault="00694F7A" w:rsidP="008A2B71">
            <w:pPr>
              <w:pStyle w:val="Paragraphedeliste"/>
              <w:ind w:left="0"/>
              <w:jc w:val="right"/>
              <w:rPr>
                <w:rFonts w:asciiTheme="minorHAnsi" w:hAnsiTheme="minorHAnsi" w:cs="Arial"/>
                <w:b/>
              </w:rPr>
            </w:pPr>
            <w:r>
              <w:rPr>
                <w:rFonts w:asciiTheme="minorHAnsi" w:hAnsiTheme="minorHAnsi" w:cs="Arial"/>
                <w:b/>
              </w:rPr>
              <w:t>%</w:t>
            </w:r>
          </w:p>
        </w:tc>
      </w:tr>
      <w:tr w:rsidR="00694F7A" w:rsidRPr="009016B5" w:rsidTr="008A2B71">
        <w:tc>
          <w:tcPr>
            <w:tcW w:w="1809" w:type="dxa"/>
            <w:tcBorders>
              <w:top w:val="single" w:sz="4" w:space="0" w:color="auto"/>
              <w:left w:val="single" w:sz="4" w:space="0" w:color="auto"/>
              <w:bottom w:val="single" w:sz="4" w:space="0" w:color="auto"/>
              <w:right w:val="single" w:sz="4" w:space="0" w:color="auto"/>
            </w:tcBorders>
          </w:tcPr>
          <w:p w:rsidR="00694F7A" w:rsidRPr="00DF1FE0" w:rsidRDefault="00694F7A" w:rsidP="008A2B71">
            <w:pPr>
              <w:jc w:val="both"/>
              <w:rPr>
                <w:rFonts w:cs="Arial"/>
              </w:rPr>
            </w:pPr>
            <w:r w:rsidRPr="00DF1FE0">
              <w:rPr>
                <w:rFonts w:cs="Arial"/>
              </w:rPr>
              <w:t>H</w:t>
            </w:r>
          </w:p>
        </w:tc>
        <w:tc>
          <w:tcPr>
            <w:tcW w:w="5387" w:type="dxa"/>
            <w:tcBorders>
              <w:top w:val="single" w:sz="4" w:space="0" w:color="auto"/>
              <w:left w:val="single" w:sz="4" w:space="0" w:color="auto"/>
              <w:bottom w:val="single" w:sz="4" w:space="0" w:color="auto"/>
              <w:right w:val="single" w:sz="4" w:space="0" w:color="auto"/>
            </w:tcBorders>
            <w:hideMark/>
          </w:tcPr>
          <w:p w:rsidR="00694F7A" w:rsidRPr="009016B5" w:rsidRDefault="00694F7A" w:rsidP="008A2B71">
            <w:pPr>
              <w:jc w:val="both"/>
              <w:rPr>
                <w:rFonts w:cs="Arial"/>
              </w:rPr>
            </w:pPr>
            <w:r>
              <w:rPr>
                <w:rFonts w:cs="Arial"/>
              </w:rPr>
              <w:t>Seuil</w:t>
            </w:r>
            <w:r w:rsidRPr="009016B5">
              <w:rPr>
                <w:rFonts w:cs="Arial"/>
              </w:rPr>
              <w:t xml:space="preserve"> de l’année de l’exercice d’imposition considéré visé à l’article 41§2 de l’Ordonnance du 14 juin 2012 </w:t>
            </w:r>
          </w:p>
        </w:tc>
        <w:tc>
          <w:tcPr>
            <w:tcW w:w="1843" w:type="dxa"/>
            <w:tcBorders>
              <w:top w:val="single" w:sz="4" w:space="0" w:color="auto"/>
              <w:left w:val="single" w:sz="4" w:space="0" w:color="auto"/>
              <w:bottom w:val="single" w:sz="4" w:space="0" w:color="auto"/>
              <w:right w:val="single" w:sz="4" w:space="0" w:color="auto"/>
            </w:tcBorders>
          </w:tcPr>
          <w:p w:rsidR="00694F7A" w:rsidRPr="009016B5" w:rsidRDefault="00694F7A" w:rsidP="008A2B71">
            <w:pPr>
              <w:pStyle w:val="Paragraphedeliste"/>
              <w:ind w:left="0"/>
              <w:jc w:val="right"/>
              <w:rPr>
                <w:rFonts w:asciiTheme="minorHAnsi" w:hAnsiTheme="minorHAnsi" w:cs="Arial"/>
              </w:rPr>
            </w:pPr>
            <w:r>
              <w:rPr>
                <w:rFonts w:asciiTheme="minorHAnsi" w:hAnsiTheme="minorHAnsi" w:cs="Arial"/>
              </w:rPr>
              <w:t>%</w:t>
            </w:r>
          </w:p>
        </w:tc>
      </w:tr>
      <w:tr w:rsidR="00694F7A" w:rsidRPr="009016B5" w:rsidTr="008A2B71">
        <w:tc>
          <w:tcPr>
            <w:tcW w:w="1809" w:type="dxa"/>
            <w:tcBorders>
              <w:top w:val="single" w:sz="4" w:space="0" w:color="auto"/>
              <w:left w:val="single" w:sz="4" w:space="0" w:color="auto"/>
              <w:bottom w:val="single" w:sz="4" w:space="0" w:color="auto"/>
              <w:right w:val="single" w:sz="4" w:space="0" w:color="auto"/>
            </w:tcBorders>
          </w:tcPr>
          <w:p w:rsidR="00694F7A" w:rsidRPr="009016B5" w:rsidRDefault="00694F7A" w:rsidP="008A2B71">
            <w:pPr>
              <w:pStyle w:val="Paragraphedeliste"/>
              <w:ind w:left="0"/>
              <w:jc w:val="both"/>
              <w:rPr>
                <w:rFonts w:asciiTheme="minorHAnsi" w:hAnsiTheme="minorHAnsi" w:cs="Arial"/>
              </w:rPr>
            </w:pPr>
            <w:r w:rsidRPr="009016B5">
              <w:rPr>
                <w:rFonts w:asciiTheme="minorHAnsi" w:hAnsiTheme="minorHAnsi" w:cs="Arial"/>
              </w:rPr>
              <w:t>Tt</w:t>
            </w:r>
          </w:p>
          <w:p w:rsidR="00694F7A" w:rsidRPr="009016B5" w:rsidRDefault="00694F7A" w:rsidP="008A2B71">
            <w:pPr>
              <w:pStyle w:val="Paragraphedeliste"/>
              <w:ind w:left="0"/>
              <w:jc w:val="both"/>
              <w:rPr>
                <w:rFonts w:asciiTheme="minorHAnsi" w:hAnsiTheme="minorHAnsi" w:cs="Arial"/>
              </w:rPr>
            </w:pPr>
          </w:p>
        </w:tc>
        <w:tc>
          <w:tcPr>
            <w:tcW w:w="5387" w:type="dxa"/>
            <w:tcBorders>
              <w:top w:val="single" w:sz="4" w:space="0" w:color="auto"/>
              <w:left w:val="single" w:sz="4" w:space="0" w:color="auto"/>
              <w:bottom w:val="single" w:sz="4" w:space="0" w:color="auto"/>
              <w:right w:val="single" w:sz="4" w:space="0" w:color="auto"/>
            </w:tcBorders>
            <w:hideMark/>
          </w:tcPr>
          <w:p w:rsidR="00694F7A" w:rsidRPr="009016B5" w:rsidRDefault="00694F7A" w:rsidP="008A2B71">
            <w:pPr>
              <w:pStyle w:val="Paragraphedeliste"/>
              <w:ind w:left="0"/>
              <w:jc w:val="both"/>
              <w:rPr>
                <w:rFonts w:asciiTheme="minorHAnsi" w:hAnsiTheme="minorHAnsi" w:cs="Arial"/>
              </w:rPr>
            </w:pPr>
            <w:r w:rsidRPr="009016B5">
              <w:rPr>
                <w:rFonts w:asciiTheme="minorHAnsi" w:hAnsiTheme="minorHAnsi" w:cs="Arial"/>
              </w:rPr>
              <w:t>Taxe à la tonne visé à l’article 41§2 de l’Ordonnance du 14 juin 2012</w:t>
            </w:r>
          </w:p>
        </w:tc>
        <w:tc>
          <w:tcPr>
            <w:tcW w:w="1843" w:type="dxa"/>
            <w:tcBorders>
              <w:top w:val="single" w:sz="4" w:space="0" w:color="auto"/>
              <w:left w:val="single" w:sz="4" w:space="0" w:color="auto"/>
              <w:bottom w:val="single" w:sz="4" w:space="0" w:color="auto"/>
              <w:right w:val="single" w:sz="4" w:space="0" w:color="auto"/>
            </w:tcBorders>
            <w:hideMark/>
          </w:tcPr>
          <w:p w:rsidR="00694F7A" w:rsidRPr="009016B5" w:rsidRDefault="00694F7A" w:rsidP="008A2B71">
            <w:pPr>
              <w:pStyle w:val="Paragraphedeliste"/>
              <w:ind w:left="0"/>
              <w:jc w:val="both"/>
              <w:rPr>
                <w:rFonts w:asciiTheme="minorHAnsi" w:hAnsiTheme="minorHAnsi" w:cs="Arial"/>
              </w:rPr>
            </w:pPr>
            <w:r w:rsidRPr="009016B5">
              <w:rPr>
                <w:rFonts w:asciiTheme="minorHAnsi" w:hAnsiTheme="minorHAnsi" w:cs="Arial"/>
              </w:rPr>
              <w:t>29 €/tonne</w:t>
            </w:r>
          </w:p>
        </w:tc>
      </w:tr>
      <w:tr w:rsidR="00694F7A" w:rsidRPr="009016B5" w:rsidTr="008A2B71">
        <w:tc>
          <w:tcPr>
            <w:tcW w:w="1809" w:type="dxa"/>
            <w:tcBorders>
              <w:top w:val="single" w:sz="4" w:space="0" w:color="auto"/>
              <w:left w:val="single" w:sz="4" w:space="0" w:color="auto"/>
              <w:bottom w:val="single" w:sz="4" w:space="0" w:color="auto"/>
              <w:right w:val="single" w:sz="4" w:space="0" w:color="auto"/>
            </w:tcBorders>
          </w:tcPr>
          <w:p w:rsidR="00694F7A" w:rsidRPr="009016B5" w:rsidRDefault="00694F7A" w:rsidP="008A2B71">
            <w:pPr>
              <w:pStyle w:val="Paragraphedeliste"/>
              <w:ind w:left="0"/>
              <w:jc w:val="both"/>
              <w:rPr>
                <w:rFonts w:asciiTheme="minorHAnsi" w:hAnsiTheme="minorHAnsi" w:cs="Arial"/>
              </w:rPr>
            </w:pPr>
            <w:r w:rsidRPr="009016B5">
              <w:rPr>
                <w:rFonts w:asciiTheme="minorHAnsi" w:hAnsiTheme="minorHAnsi" w:cs="Arial"/>
              </w:rPr>
              <w:t>Ta</w:t>
            </w:r>
          </w:p>
          <w:p w:rsidR="00694F7A" w:rsidRPr="009016B5" w:rsidRDefault="00694F7A" w:rsidP="008A2B71">
            <w:pPr>
              <w:pStyle w:val="Paragraphedeliste"/>
              <w:ind w:left="0"/>
              <w:jc w:val="both"/>
              <w:rPr>
                <w:rFonts w:asciiTheme="minorHAnsi" w:hAnsiTheme="minorHAnsi" w:cs="Arial"/>
              </w:rPr>
            </w:pPr>
          </w:p>
        </w:tc>
        <w:tc>
          <w:tcPr>
            <w:tcW w:w="5387" w:type="dxa"/>
            <w:tcBorders>
              <w:top w:val="single" w:sz="4" w:space="0" w:color="auto"/>
              <w:left w:val="single" w:sz="4" w:space="0" w:color="auto"/>
              <w:bottom w:val="single" w:sz="4" w:space="0" w:color="auto"/>
              <w:right w:val="single" w:sz="4" w:space="0" w:color="auto"/>
            </w:tcBorders>
          </w:tcPr>
          <w:p w:rsidR="00694F7A" w:rsidRPr="009016B5" w:rsidRDefault="00694F7A" w:rsidP="008A2B71">
            <w:pPr>
              <w:pStyle w:val="Paragraphedeliste"/>
              <w:ind w:left="0"/>
              <w:jc w:val="both"/>
              <w:rPr>
                <w:rFonts w:asciiTheme="minorHAnsi" w:hAnsiTheme="minorHAnsi" w:cs="Arial"/>
              </w:rPr>
            </w:pPr>
            <w:r w:rsidRPr="009016B5">
              <w:rPr>
                <w:rFonts w:asciiTheme="minorHAnsi" w:hAnsiTheme="minorHAnsi" w:cs="Arial"/>
              </w:rPr>
              <w:t>Taxe à l’incinération due calculé</w:t>
            </w:r>
            <w:r>
              <w:rPr>
                <w:rFonts w:asciiTheme="minorHAnsi" w:hAnsiTheme="minorHAnsi" w:cs="Arial"/>
              </w:rPr>
              <w:t>e</w:t>
            </w:r>
            <w:r w:rsidRPr="009016B5">
              <w:rPr>
                <w:rFonts w:asciiTheme="minorHAnsi" w:hAnsiTheme="minorHAnsi" w:cs="Arial"/>
              </w:rPr>
              <w:t xml:space="preserve"> comme suit :</w:t>
            </w:r>
          </w:p>
          <w:p w:rsidR="00694F7A" w:rsidRPr="009016B5" w:rsidRDefault="00694F7A" w:rsidP="008A2B71">
            <w:pPr>
              <w:jc w:val="both"/>
              <w:rPr>
                <w:rFonts w:cs="Arial"/>
              </w:rPr>
            </w:pPr>
            <w:r w:rsidRPr="009016B5">
              <w:rPr>
                <w:rFonts w:cs="Arial"/>
              </w:rPr>
              <w:t>Si Ti &gt; H alors, Ta = (Ti - H) x A x 29 €</w:t>
            </w:r>
          </w:p>
        </w:tc>
        <w:tc>
          <w:tcPr>
            <w:tcW w:w="1843" w:type="dxa"/>
            <w:tcBorders>
              <w:top w:val="single" w:sz="4" w:space="0" w:color="auto"/>
              <w:left w:val="single" w:sz="4" w:space="0" w:color="auto"/>
              <w:bottom w:val="single" w:sz="4" w:space="0" w:color="auto"/>
              <w:right w:val="single" w:sz="4" w:space="0" w:color="auto"/>
            </w:tcBorders>
          </w:tcPr>
          <w:p w:rsidR="00694F7A" w:rsidRPr="009016B5" w:rsidRDefault="00694F7A" w:rsidP="008A2B71">
            <w:pPr>
              <w:pStyle w:val="Paragraphedeliste"/>
              <w:ind w:left="0"/>
              <w:jc w:val="right"/>
              <w:rPr>
                <w:rFonts w:asciiTheme="minorHAnsi" w:hAnsiTheme="minorHAnsi" w:cs="Arial"/>
              </w:rPr>
            </w:pPr>
            <w:r>
              <w:rPr>
                <w:rFonts w:asciiTheme="minorHAnsi" w:hAnsiTheme="minorHAnsi" w:cs="Arial"/>
              </w:rPr>
              <w:t>Tonnes</w:t>
            </w:r>
          </w:p>
        </w:tc>
      </w:tr>
    </w:tbl>
    <w:p w:rsidR="00694F7A" w:rsidRPr="009016B5" w:rsidRDefault="00694F7A" w:rsidP="00694F7A">
      <w:pPr>
        <w:jc w:val="both"/>
        <w:rPr>
          <w:rFonts w:cs="Arial"/>
        </w:rPr>
      </w:pPr>
    </w:p>
    <w:p w:rsidR="00694F7A" w:rsidRDefault="00694F7A" w:rsidP="00694F7A">
      <w:pPr>
        <w:pStyle w:val="Default"/>
        <w:jc w:val="both"/>
        <w:rPr>
          <w:rFonts w:asciiTheme="minorHAnsi" w:hAnsiTheme="minorHAnsi"/>
          <w:b/>
          <w:bCs/>
          <w:color w:val="auto"/>
          <w:sz w:val="22"/>
          <w:szCs w:val="22"/>
        </w:rPr>
      </w:pPr>
      <w:r w:rsidRPr="009016B5">
        <w:rPr>
          <w:rFonts w:asciiTheme="minorHAnsi" w:hAnsiTheme="minorHAnsi"/>
          <w:b/>
          <w:bCs/>
          <w:color w:val="auto"/>
          <w:sz w:val="22"/>
          <w:szCs w:val="22"/>
        </w:rPr>
        <w:t>Conformément aux annexes 15 et 16</w:t>
      </w:r>
      <w:r w:rsidR="007240D5">
        <w:rPr>
          <w:rFonts w:asciiTheme="minorHAnsi" w:hAnsiTheme="minorHAnsi"/>
          <w:b/>
          <w:bCs/>
          <w:color w:val="auto"/>
          <w:sz w:val="22"/>
          <w:szCs w:val="22"/>
        </w:rPr>
        <w:t xml:space="preserve"> de l’Arrêté du 1</w:t>
      </w:r>
      <w:r w:rsidR="007240D5" w:rsidRPr="007240D5">
        <w:rPr>
          <w:rFonts w:asciiTheme="minorHAnsi" w:hAnsiTheme="minorHAnsi"/>
          <w:b/>
          <w:bCs/>
          <w:color w:val="auto"/>
          <w:sz w:val="22"/>
          <w:szCs w:val="22"/>
          <w:vertAlign w:val="superscript"/>
        </w:rPr>
        <w:t>er</w:t>
      </w:r>
      <w:r w:rsidR="007240D5">
        <w:rPr>
          <w:rFonts w:asciiTheme="minorHAnsi" w:hAnsiTheme="minorHAnsi"/>
          <w:b/>
          <w:bCs/>
          <w:color w:val="auto"/>
          <w:sz w:val="22"/>
          <w:szCs w:val="22"/>
        </w:rPr>
        <w:t xml:space="preserve"> décembre 2016 relatif à la gestion des déchets</w:t>
      </w:r>
      <w:r w:rsidRPr="009016B5">
        <w:rPr>
          <w:rFonts w:asciiTheme="minorHAnsi" w:hAnsiTheme="minorHAnsi"/>
          <w:b/>
          <w:bCs/>
          <w:color w:val="auto"/>
          <w:sz w:val="22"/>
          <w:szCs w:val="22"/>
        </w:rPr>
        <w:t>, chaque flux visé dans l</w:t>
      </w:r>
      <w:r>
        <w:rPr>
          <w:rFonts w:asciiTheme="minorHAnsi" w:hAnsiTheme="minorHAnsi"/>
          <w:b/>
          <w:bCs/>
          <w:color w:val="auto"/>
          <w:sz w:val="22"/>
          <w:szCs w:val="22"/>
        </w:rPr>
        <w:t>es</w:t>
      </w:r>
      <w:r w:rsidRPr="009016B5">
        <w:rPr>
          <w:rFonts w:asciiTheme="minorHAnsi" w:hAnsiTheme="minorHAnsi"/>
          <w:b/>
          <w:bCs/>
          <w:color w:val="auto"/>
          <w:sz w:val="22"/>
          <w:szCs w:val="22"/>
        </w:rPr>
        <w:t xml:space="preserve"> </w:t>
      </w:r>
      <w:r>
        <w:rPr>
          <w:rFonts w:asciiTheme="minorHAnsi" w:hAnsiTheme="minorHAnsi"/>
          <w:b/>
          <w:bCs/>
          <w:color w:val="auto"/>
          <w:sz w:val="22"/>
          <w:szCs w:val="22"/>
        </w:rPr>
        <w:t>r</w:t>
      </w:r>
      <w:r w:rsidRPr="009016B5">
        <w:rPr>
          <w:rFonts w:asciiTheme="minorHAnsi" w:hAnsiTheme="minorHAnsi"/>
          <w:b/>
          <w:bCs/>
          <w:color w:val="auto"/>
          <w:sz w:val="22"/>
          <w:szCs w:val="22"/>
        </w:rPr>
        <w:t>éférence</w:t>
      </w:r>
      <w:r>
        <w:rPr>
          <w:rFonts w:asciiTheme="minorHAnsi" w:hAnsiTheme="minorHAnsi"/>
          <w:b/>
          <w:bCs/>
          <w:color w:val="auto"/>
          <w:sz w:val="22"/>
          <w:szCs w:val="22"/>
        </w:rPr>
        <w:t>s</w:t>
      </w:r>
      <w:r w:rsidRPr="009016B5">
        <w:rPr>
          <w:rFonts w:asciiTheme="minorHAnsi" w:hAnsiTheme="minorHAnsi"/>
          <w:b/>
          <w:bCs/>
          <w:color w:val="auto"/>
          <w:sz w:val="22"/>
          <w:szCs w:val="22"/>
        </w:rPr>
        <w:t xml:space="preserve"> A et B, f</w:t>
      </w:r>
      <w:r>
        <w:rPr>
          <w:rFonts w:asciiTheme="minorHAnsi" w:hAnsiTheme="minorHAnsi"/>
          <w:b/>
          <w:bCs/>
          <w:color w:val="auto"/>
          <w:sz w:val="22"/>
          <w:szCs w:val="22"/>
        </w:rPr>
        <w:t>ai</w:t>
      </w:r>
      <w:r w:rsidRPr="009016B5">
        <w:rPr>
          <w:rFonts w:asciiTheme="minorHAnsi" w:hAnsiTheme="minorHAnsi"/>
          <w:b/>
          <w:bCs/>
          <w:color w:val="auto"/>
          <w:sz w:val="22"/>
          <w:szCs w:val="22"/>
        </w:rPr>
        <w:t>t l’objet d’un rapport détaillé joint à la présente.</w:t>
      </w:r>
    </w:p>
    <w:p w:rsidR="00694F7A" w:rsidRDefault="00694F7A" w:rsidP="00694F7A">
      <w:pPr>
        <w:pStyle w:val="Default"/>
        <w:jc w:val="both"/>
        <w:rPr>
          <w:rFonts w:asciiTheme="minorHAnsi" w:hAnsiTheme="minorHAnsi"/>
          <w:b/>
          <w:bCs/>
          <w:color w:val="auto"/>
          <w:sz w:val="22"/>
          <w:szCs w:val="22"/>
        </w:rPr>
      </w:pPr>
    </w:p>
    <w:p w:rsidR="00694F7A" w:rsidRDefault="00694F7A" w:rsidP="00694F7A">
      <w:pPr>
        <w:pStyle w:val="Default"/>
        <w:jc w:val="both"/>
        <w:rPr>
          <w:rFonts w:asciiTheme="minorHAnsi" w:hAnsiTheme="minorHAnsi"/>
          <w:b/>
          <w:bCs/>
          <w:color w:val="auto"/>
          <w:sz w:val="22"/>
          <w:szCs w:val="22"/>
        </w:rPr>
      </w:pPr>
    </w:p>
    <w:p w:rsidR="00694F7A" w:rsidRDefault="00694F7A" w:rsidP="00694F7A">
      <w:pPr>
        <w:pStyle w:val="Default"/>
        <w:jc w:val="both"/>
        <w:rPr>
          <w:rFonts w:asciiTheme="minorHAnsi" w:hAnsiTheme="minorHAnsi"/>
          <w:b/>
          <w:bCs/>
          <w:color w:val="auto"/>
          <w:sz w:val="22"/>
          <w:szCs w:val="22"/>
        </w:rPr>
      </w:pPr>
    </w:p>
    <w:p w:rsidR="00694F7A" w:rsidRPr="009016B5" w:rsidRDefault="00694F7A" w:rsidP="00694F7A">
      <w:pPr>
        <w:pStyle w:val="Default"/>
        <w:jc w:val="both"/>
        <w:rPr>
          <w:rFonts w:asciiTheme="minorHAnsi" w:hAnsiTheme="minorHAnsi"/>
          <w:b/>
          <w:bCs/>
          <w:color w:val="auto"/>
          <w:sz w:val="22"/>
          <w:szCs w:val="22"/>
        </w:rPr>
      </w:pPr>
    </w:p>
    <w:p w:rsidR="00694F7A" w:rsidRPr="009016B5" w:rsidRDefault="00694F7A" w:rsidP="00694F7A">
      <w:pPr>
        <w:pStyle w:val="Default"/>
        <w:jc w:val="both"/>
        <w:rPr>
          <w:rFonts w:asciiTheme="minorHAnsi" w:hAnsiTheme="minorHAnsi"/>
          <w:b/>
          <w:bCs/>
          <w:color w:val="auto"/>
          <w:sz w:val="22"/>
          <w:szCs w:val="22"/>
        </w:rPr>
      </w:pPr>
    </w:p>
    <w:p w:rsidR="00694F7A" w:rsidRPr="009016B5" w:rsidRDefault="00694F7A" w:rsidP="00694F7A">
      <w:pPr>
        <w:pStyle w:val="Default"/>
        <w:jc w:val="both"/>
        <w:rPr>
          <w:rFonts w:asciiTheme="minorHAnsi" w:hAnsiTheme="minorHAnsi"/>
          <w:b/>
          <w:bCs/>
          <w:color w:val="auto"/>
          <w:sz w:val="22"/>
          <w:szCs w:val="22"/>
        </w:rPr>
      </w:pPr>
    </w:p>
    <w:p w:rsidR="00694F7A" w:rsidRPr="009016B5" w:rsidRDefault="00694F7A" w:rsidP="00694F7A">
      <w:pPr>
        <w:pStyle w:val="Default"/>
        <w:jc w:val="both"/>
        <w:rPr>
          <w:rFonts w:asciiTheme="minorHAnsi" w:hAnsiTheme="minorHAnsi"/>
          <w:b/>
          <w:bCs/>
          <w:color w:val="auto"/>
          <w:sz w:val="22"/>
          <w:szCs w:val="22"/>
        </w:rPr>
      </w:pPr>
      <w:r w:rsidRPr="009016B5">
        <w:rPr>
          <w:rFonts w:asciiTheme="minorHAnsi" w:hAnsiTheme="minorHAnsi"/>
          <w:b/>
          <w:bCs/>
          <w:color w:val="auto"/>
          <w:sz w:val="22"/>
          <w:szCs w:val="22"/>
        </w:rPr>
        <w:t xml:space="preserve">Déclaration sur l'honneur et signature </w:t>
      </w:r>
    </w:p>
    <w:p w:rsidR="00694F7A" w:rsidRPr="009016B5" w:rsidRDefault="00694F7A" w:rsidP="00694F7A">
      <w:pPr>
        <w:jc w:val="both"/>
        <w:rPr>
          <w:rFonts w:cs="Arial"/>
        </w:rPr>
      </w:pPr>
    </w:p>
    <w:p w:rsidR="00694F7A" w:rsidRPr="009016B5" w:rsidRDefault="00694F7A" w:rsidP="00694F7A">
      <w:pPr>
        <w:jc w:val="both"/>
        <w:rPr>
          <w:rFonts w:cs="Arial"/>
        </w:rPr>
      </w:pPr>
      <w:r w:rsidRPr="009016B5">
        <w:rPr>
          <w:rFonts w:cs="Arial"/>
        </w:rPr>
        <w:t>Nom, Prénom, Fonction</w:t>
      </w:r>
    </w:p>
    <w:p w:rsidR="00694F7A" w:rsidRPr="009016B5" w:rsidRDefault="00694F7A" w:rsidP="00694F7A">
      <w:pPr>
        <w:jc w:val="both"/>
        <w:rPr>
          <w:rFonts w:cs="Arial"/>
        </w:rPr>
      </w:pPr>
      <w:r w:rsidRPr="009016B5">
        <w:rPr>
          <w:rFonts w:cs="Arial"/>
        </w:rPr>
        <w:t>certifie que la présente déclaration, en ce compris les documents annexés, est exacte et sincère et peut servir à la vérification du montant de la taxe. Je joins ........... annexe(s) numérotée(s) à la présente déclaration.</w:t>
      </w:r>
    </w:p>
    <w:p w:rsidR="00694F7A" w:rsidRPr="009016B5" w:rsidRDefault="00694F7A" w:rsidP="00694F7A">
      <w:pPr>
        <w:jc w:val="both"/>
        <w:rPr>
          <w:rFonts w:cs="Arial"/>
        </w:rPr>
      </w:pPr>
      <w:r w:rsidRPr="009016B5">
        <w:rPr>
          <w:rFonts w:cs="Arial"/>
        </w:rPr>
        <w:t>Fait à,            date :     /    /     signature</w:t>
      </w:r>
    </w:p>
    <w:p w:rsidR="00694F7A" w:rsidRPr="009016B5" w:rsidRDefault="00694F7A" w:rsidP="00694F7A">
      <w:pPr>
        <w:pStyle w:val="Paragraphedeliste"/>
        <w:ind w:left="0"/>
        <w:jc w:val="both"/>
        <w:rPr>
          <w:rFonts w:asciiTheme="minorHAnsi" w:hAnsiTheme="minorHAnsi" w:cs="Arial"/>
        </w:rPr>
      </w:pPr>
    </w:p>
    <w:p w:rsidR="00694F7A" w:rsidRPr="009016B5" w:rsidRDefault="00694F7A" w:rsidP="00694F7A">
      <w:pPr>
        <w:pStyle w:val="Paragraphedeliste"/>
        <w:ind w:left="0"/>
        <w:jc w:val="both"/>
        <w:rPr>
          <w:rFonts w:asciiTheme="minorHAnsi" w:hAnsiTheme="minorHAnsi" w:cs="Arial"/>
        </w:rPr>
      </w:pPr>
      <w:r w:rsidRPr="009016B5">
        <w:rPr>
          <w:rFonts w:asciiTheme="minorHAnsi" w:hAnsiTheme="minorHAnsi" w:cs="Arial"/>
        </w:rPr>
        <w:t>Liste des documents en annexe joint à la présente :</w:t>
      </w:r>
    </w:p>
    <w:p w:rsidR="00694F7A" w:rsidRPr="009016B5" w:rsidRDefault="00694F7A" w:rsidP="00694F7A">
      <w:pPr>
        <w:pStyle w:val="Paragraphedeliste"/>
        <w:ind w:left="0"/>
        <w:jc w:val="both"/>
        <w:rPr>
          <w:rFonts w:asciiTheme="minorHAnsi" w:hAnsiTheme="minorHAnsi" w:cs="Arial"/>
        </w:rPr>
      </w:pPr>
    </w:p>
    <w:tbl>
      <w:tblPr>
        <w:tblStyle w:val="Grilledutableau"/>
        <w:tblW w:w="0" w:type="auto"/>
        <w:tblInd w:w="38" w:type="dxa"/>
        <w:tblLook w:val="04A0" w:firstRow="1" w:lastRow="0" w:firstColumn="1" w:lastColumn="0" w:noHBand="0" w:noVBand="1"/>
      </w:tblPr>
      <w:tblGrid>
        <w:gridCol w:w="1341"/>
        <w:gridCol w:w="7637"/>
      </w:tblGrid>
      <w:tr w:rsidR="00694F7A" w:rsidRPr="009016B5" w:rsidTr="008A2B71">
        <w:tc>
          <w:tcPr>
            <w:tcW w:w="1346" w:type="dxa"/>
          </w:tcPr>
          <w:p w:rsidR="00694F7A" w:rsidRPr="009016B5" w:rsidRDefault="00694F7A" w:rsidP="008A2B71">
            <w:pPr>
              <w:pStyle w:val="Paragraphedeliste"/>
              <w:ind w:left="0"/>
              <w:jc w:val="both"/>
              <w:rPr>
                <w:rFonts w:asciiTheme="minorHAnsi" w:hAnsiTheme="minorHAnsi" w:cs="Arial"/>
                <w:b/>
              </w:rPr>
            </w:pPr>
            <w:r w:rsidRPr="009016B5">
              <w:rPr>
                <w:rFonts w:asciiTheme="minorHAnsi" w:hAnsiTheme="minorHAnsi" w:cs="Arial"/>
                <w:b/>
              </w:rPr>
              <w:t>Référence</w:t>
            </w:r>
          </w:p>
        </w:tc>
        <w:tc>
          <w:tcPr>
            <w:tcW w:w="7796" w:type="dxa"/>
          </w:tcPr>
          <w:p w:rsidR="00694F7A" w:rsidRPr="009016B5" w:rsidRDefault="00694F7A" w:rsidP="008A2B71">
            <w:pPr>
              <w:pStyle w:val="Paragraphedeliste"/>
              <w:ind w:left="0"/>
              <w:jc w:val="both"/>
              <w:rPr>
                <w:rFonts w:asciiTheme="minorHAnsi" w:hAnsiTheme="minorHAnsi" w:cs="Arial"/>
                <w:b/>
              </w:rPr>
            </w:pPr>
            <w:r w:rsidRPr="009016B5">
              <w:rPr>
                <w:rFonts w:asciiTheme="minorHAnsi" w:hAnsiTheme="minorHAnsi" w:cs="Arial"/>
                <w:b/>
              </w:rPr>
              <w:t>intitulé</w:t>
            </w:r>
          </w:p>
        </w:tc>
      </w:tr>
      <w:tr w:rsidR="00694F7A" w:rsidRPr="009016B5" w:rsidTr="008A2B71">
        <w:tc>
          <w:tcPr>
            <w:tcW w:w="1346" w:type="dxa"/>
          </w:tcPr>
          <w:p w:rsidR="00694F7A" w:rsidRPr="009016B5" w:rsidRDefault="00694F7A" w:rsidP="008A2B71">
            <w:pPr>
              <w:pStyle w:val="Paragraphedeliste"/>
              <w:ind w:left="0"/>
              <w:jc w:val="both"/>
              <w:rPr>
                <w:rFonts w:asciiTheme="minorHAnsi" w:hAnsiTheme="minorHAnsi" w:cs="Arial"/>
              </w:rPr>
            </w:pPr>
          </w:p>
        </w:tc>
        <w:tc>
          <w:tcPr>
            <w:tcW w:w="7796" w:type="dxa"/>
          </w:tcPr>
          <w:p w:rsidR="00694F7A" w:rsidRPr="009016B5" w:rsidRDefault="00694F7A" w:rsidP="008A2B71">
            <w:pPr>
              <w:pStyle w:val="Paragraphedeliste"/>
              <w:ind w:left="0"/>
              <w:jc w:val="both"/>
              <w:rPr>
                <w:rFonts w:asciiTheme="minorHAnsi" w:hAnsiTheme="minorHAnsi" w:cs="Arial"/>
              </w:rPr>
            </w:pPr>
          </w:p>
        </w:tc>
      </w:tr>
      <w:tr w:rsidR="00694F7A" w:rsidRPr="009016B5" w:rsidTr="008A2B71">
        <w:tc>
          <w:tcPr>
            <w:tcW w:w="1346" w:type="dxa"/>
          </w:tcPr>
          <w:p w:rsidR="00694F7A" w:rsidRPr="009016B5" w:rsidRDefault="00694F7A" w:rsidP="008A2B71">
            <w:pPr>
              <w:pStyle w:val="Paragraphedeliste"/>
              <w:ind w:left="0"/>
              <w:jc w:val="both"/>
              <w:rPr>
                <w:rFonts w:asciiTheme="minorHAnsi" w:hAnsiTheme="minorHAnsi" w:cs="Arial"/>
              </w:rPr>
            </w:pPr>
          </w:p>
        </w:tc>
        <w:tc>
          <w:tcPr>
            <w:tcW w:w="7796" w:type="dxa"/>
          </w:tcPr>
          <w:p w:rsidR="00694F7A" w:rsidRPr="009016B5" w:rsidRDefault="00694F7A" w:rsidP="008A2B71">
            <w:pPr>
              <w:pStyle w:val="Paragraphedeliste"/>
              <w:ind w:left="0"/>
              <w:jc w:val="both"/>
              <w:rPr>
                <w:rFonts w:asciiTheme="minorHAnsi" w:hAnsiTheme="minorHAnsi" w:cs="Arial"/>
              </w:rPr>
            </w:pPr>
          </w:p>
        </w:tc>
      </w:tr>
      <w:tr w:rsidR="00694F7A" w:rsidRPr="009016B5" w:rsidTr="008A2B71">
        <w:tc>
          <w:tcPr>
            <w:tcW w:w="1346" w:type="dxa"/>
          </w:tcPr>
          <w:p w:rsidR="00694F7A" w:rsidRPr="009016B5" w:rsidRDefault="00694F7A" w:rsidP="008A2B71">
            <w:pPr>
              <w:pStyle w:val="Paragraphedeliste"/>
              <w:ind w:left="0"/>
              <w:jc w:val="both"/>
              <w:rPr>
                <w:rFonts w:asciiTheme="minorHAnsi" w:hAnsiTheme="minorHAnsi" w:cs="Arial"/>
              </w:rPr>
            </w:pPr>
          </w:p>
        </w:tc>
        <w:tc>
          <w:tcPr>
            <w:tcW w:w="7796" w:type="dxa"/>
          </w:tcPr>
          <w:p w:rsidR="00694F7A" w:rsidRPr="009016B5" w:rsidRDefault="00694F7A" w:rsidP="008A2B71">
            <w:pPr>
              <w:pStyle w:val="Paragraphedeliste"/>
              <w:ind w:left="0"/>
              <w:jc w:val="both"/>
              <w:rPr>
                <w:rFonts w:asciiTheme="minorHAnsi" w:hAnsiTheme="minorHAnsi" w:cs="Arial"/>
              </w:rPr>
            </w:pPr>
          </w:p>
        </w:tc>
      </w:tr>
      <w:tr w:rsidR="00694F7A" w:rsidRPr="009016B5" w:rsidTr="008A2B71">
        <w:tc>
          <w:tcPr>
            <w:tcW w:w="1346" w:type="dxa"/>
          </w:tcPr>
          <w:p w:rsidR="00694F7A" w:rsidRPr="009016B5" w:rsidRDefault="00694F7A" w:rsidP="008A2B71">
            <w:pPr>
              <w:pStyle w:val="Paragraphedeliste"/>
              <w:ind w:left="0"/>
              <w:jc w:val="both"/>
              <w:rPr>
                <w:rFonts w:asciiTheme="minorHAnsi" w:hAnsiTheme="minorHAnsi" w:cs="Arial"/>
              </w:rPr>
            </w:pPr>
          </w:p>
        </w:tc>
        <w:tc>
          <w:tcPr>
            <w:tcW w:w="7796" w:type="dxa"/>
          </w:tcPr>
          <w:p w:rsidR="00694F7A" w:rsidRPr="009016B5" w:rsidRDefault="00694F7A" w:rsidP="008A2B71">
            <w:pPr>
              <w:pStyle w:val="Paragraphedeliste"/>
              <w:ind w:left="0"/>
              <w:jc w:val="both"/>
              <w:rPr>
                <w:rFonts w:asciiTheme="minorHAnsi" w:hAnsiTheme="minorHAnsi" w:cs="Arial"/>
              </w:rPr>
            </w:pPr>
          </w:p>
        </w:tc>
      </w:tr>
      <w:tr w:rsidR="00694F7A" w:rsidRPr="009016B5" w:rsidTr="008A2B71">
        <w:tc>
          <w:tcPr>
            <w:tcW w:w="1346" w:type="dxa"/>
          </w:tcPr>
          <w:p w:rsidR="00694F7A" w:rsidRPr="009016B5" w:rsidRDefault="00694F7A" w:rsidP="008A2B71">
            <w:pPr>
              <w:pStyle w:val="Paragraphedeliste"/>
              <w:ind w:left="0"/>
              <w:jc w:val="both"/>
              <w:rPr>
                <w:rFonts w:asciiTheme="minorHAnsi" w:hAnsiTheme="minorHAnsi" w:cs="Arial"/>
              </w:rPr>
            </w:pPr>
          </w:p>
        </w:tc>
        <w:tc>
          <w:tcPr>
            <w:tcW w:w="7796" w:type="dxa"/>
          </w:tcPr>
          <w:p w:rsidR="00694F7A" w:rsidRPr="009016B5" w:rsidRDefault="00694F7A" w:rsidP="008A2B71">
            <w:pPr>
              <w:pStyle w:val="Paragraphedeliste"/>
              <w:ind w:left="0"/>
              <w:jc w:val="both"/>
              <w:rPr>
                <w:rFonts w:asciiTheme="minorHAnsi" w:hAnsiTheme="minorHAnsi" w:cs="Arial"/>
              </w:rPr>
            </w:pPr>
          </w:p>
        </w:tc>
      </w:tr>
      <w:tr w:rsidR="00694F7A" w:rsidRPr="009016B5" w:rsidTr="008A2B71">
        <w:tc>
          <w:tcPr>
            <w:tcW w:w="1346" w:type="dxa"/>
          </w:tcPr>
          <w:p w:rsidR="00694F7A" w:rsidRPr="009016B5" w:rsidRDefault="00694F7A" w:rsidP="008A2B71">
            <w:pPr>
              <w:pStyle w:val="Paragraphedeliste"/>
              <w:ind w:left="0"/>
              <w:jc w:val="both"/>
              <w:rPr>
                <w:rFonts w:asciiTheme="minorHAnsi" w:hAnsiTheme="minorHAnsi" w:cs="Arial"/>
              </w:rPr>
            </w:pPr>
          </w:p>
        </w:tc>
        <w:tc>
          <w:tcPr>
            <w:tcW w:w="7796" w:type="dxa"/>
          </w:tcPr>
          <w:p w:rsidR="00694F7A" w:rsidRPr="009016B5" w:rsidRDefault="00694F7A" w:rsidP="008A2B71">
            <w:pPr>
              <w:pStyle w:val="Paragraphedeliste"/>
              <w:ind w:left="0"/>
              <w:jc w:val="both"/>
              <w:rPr>
                <w:rFonts w:asciiTheme="minorHAnsi" w:hAnsiTheme="minorHAnsi" w:cs="Arial"/>
              </w:rPr>
            </w:pPr>
          </w:p>
        </w:tc>
      </w:tr>
      <w:tr w:rsidR="00694F7A" w:rsidRPr="009016B5" w:rsidTr="008A2B71">
        <w:tc>
          <w:tcPr>
            <w:tcW w:w="1346" w:type="dxa"/>
          </w:tcPr>
          <w:p w:rsidR="00694F7A" w:rsidRPr="009016B5" w:rsidRDefault="00694F7A" w:rsidP="008A2B71">
            <w:pPr>
              <w:pStyle w:val="Paragraphedeliste"/>
              <w:ind w:left="0"/>
              <w:jc w:val="both"/>
              <w:rPr>
                <w:rFonts w:asciiTheme="minorHAnsi" w:hAnsiTheme="minorHAnsi" w:cs="Arial"/>
              </w:rPr>
            </w:pPr>
          </w:p>
        </w:tc>
        <w:tc>
          <w:tcPr>
            <w:tcW w:w="7796" w:type="dxa"/>
          </w:tcPr>
          <w:p w:rsidR="00694F7A" w:rsidRPr="009016B5" w:rsidRDefault="00694F7A" w:rsidP="008A2B71">
            <w:pPr>
              <w:pStyle w:val="Paragraphedeliste"/>
              <w:ind w:left="0"/>
              <w:jc w:val="both"/>
              <w:rPr>
                <w:rFonts w:asciiTheme="minorHAnsi" w:hAnsiTheme="minorHAnsi" w:cs="Arial"/>
              </w:rPr>
            </w:pPr>
          </w:p>
        </w:tc>
      </w:tr>
      <w:tr w:rsidR="00694F7A" w:rsidRPr="009016B5" w:rsidTr="008A2B71">
        <w:tc>
          <w:tcPr>
            <w:tcW w:w="1346" w:type="dxa"/>
          </w:tcPr>
          <w:p w:rsidR="00694F7A" w:rsidRPr="009016B5" w:rsidRDefault="00694F7A" w:rsidP="008A2B71">
            <w:pPr>
              <w:pStyle w:val="Paragraphedeliste"/>
              <w:ind w:left="0"/>
              <w:jc w:val="both"/>
              <w:rPr>
                <w:rFonts w:asciiTheme="minorHAnsi" w:hAnsiTheme="minorHAnsi" w:cs="Arial"/>
              </w:rPr>
            </w:pPr>
          </w:p>
        </w:tc>
        <w:tc>
          <w:tcPr>
            <w:tcW w:w="7796" w:type="dxa"/>
          </w:tcPr>
          <w:p w:rsidR="00694F7A" w:rsidRPr="009016B5" w:rsidRDefault="00694F7A" w:rsidP="008A2B71">
            <w:pPr>
              <w:pStyle w:val="Paragraphedeliste"/>
              <w:ind w:left="0"/>
              <w:jc w:val="both"/>
              <w:rPr>
                <w:rFonts w:asciiTheme="minorHAnsi" w:hAnsiTheme="minorHAnsi" w:cs="Arial"/>
              </w:rPr>
            </w:pPr>
          </w:p>
        </w:tc>
      </w:tr>
      <w:tr w:rsidR="00694F7A" w:rsidRPr="009016B5" w:rsidTr="008A2B71">
        <w:tc>
          <w:tcPr>
            <w:tcW w:w="1346" w:type="dxa"/>
          </w:tcPr>
          <w:p w:rsidR="00694F7A" w:rsidRPr="009016B5" w:rsidRDefault="00694F7A" w:rsidP="008A2B71">
            <w:pPr>
              <w:pStyle w:val="Paragraphedeliste"/>
              <w:ind w:left="0"/>
              <w:jc w:val="both"/>
              <w:rPr>
                <w:rFonts w:asciiTheme="minorHAnsi" w:hAnsiTheme="minorHAnsi" w:cs="Arial"/>
              </w:rPr>
            </w:pPr>
          </w:p>
        </w:tc>
        <w:tc>
          <w:tcPr>
            <w:tcW w:w="7796" w:type="dxa"/>
          </w:tcPr>
          <w:p w:rsidR="00694F7A" w:rsidRPr="009016B5" w:rsidRDefault="00694F7A" w:rsidP="008A2B71">
            <w:pPr>
              <w:pStyle w:val="Paragraphedeliste"/>
              <w:ind w:left="0"/>
              <w:jc w:val="both"/>
              <w:rPr>
                <w:rFonts w:asciiTheme="minorHAnsi" w:hAnsiTheme="minorHAnsi" w:cs="Arial"/>
              </w:rPr>
            </w:pPr>
          </w:p>
        </w:tc>
      </w:tr>
      <w:tr w:rsidR="00694F7A" w:rsidRPr="009016B5" w:rsidTr="008A2B71">
        <w:tc>
          <w:tcPr>
            <w:tcW w:w="1346" w:type="dxa"/>
          </w:tcPr>
          <w:p w:rsidR="00694F7A" w:rsidRPr="009016B5" w:rsidRDefault="00694F7A" w:rsidP="008A2B71">
            <w:pPr>
              <w:pStyle w:val="Paragraphedeliste"/>
              <w:ind w:left="0"/>
              <w:jc w:val="both"/>
              <w:rPr>
                <w:rFonts w:asciiTheme="minorHAnsi" w:hAnsiTheme="minorHAnsi" w:cs="Arial"/>
              </w:rPr>
            </w:pPr>
          </w:p>
        </w:tc>
        <w:tc>
          <w:tcPr>
            <w:tcW w:w="7796" w:type="dxa"/>
          </w:tcPr>
          <w:p w:rsidR="00694F7A" w:rsidRPr="009016B5" w:rsidRDefault="00694F7A" w:rsidP="008A2B71">
            <w:pPr>
              <w:pStyle w:val="Paragraphedeliste"/>
              <w:ind w:left="0"/>
              <w:jc w:val="both"/>
              <w:rPr>
                <w:rFonts w:asciiTheme="minorHAnsi" w:hAnsiTheme="minorHAnsi" w:cs="Arial"/>
              </w:rPr>
            </w:pPr>
          </w:p>
        </w:tc>
      </w:tr>
      <w:tr w:rsidR="00694F7A" w:rsidRPr="009016B5" w:rsidTr="008A2B71">
        <w:tc>
          <w:tcPr>
            <w:tcW w:w="1346" w:type="dxa"/>
          </w:tcPr>
          <w:p w:rsidR="00694F7A" w:rsidRPr="009016B5" w:rsidRDefault="00694F7A" w:rsidP="008A2B71">
            <w:pPr>
              <w:pStyle w:val="Paragraphedeliste"/>
              <w:ind w:left="0"/>
              <w:jc w:val="both"/>
              <w:rPr>
                <w:rFonts w:asciiTheme="minorHAnsi" w:hAnsiTheme="minorHAnsi" w:cs="Arial"/>
              </w:rPr>
            </w:pPr>
          </w:p>
        </w:tc>
        <w:tc>
          <w:tcPr>
            <w:tcW w:w="7796" w:type="dxa"/>
          </w:tcPr>
          <w:p w:rsidR="00694F7A" w:rsidRPr="009016B5" w:rsidRDefault="00694F7A" w:rsidP="008A2B71">
            <w:pPr>
              <w:pStyle w:val="Paragraphedeliste"/>
              <w:ind w:left="0"/>
              <w:jc w:val="both"/>
              <w:rPr>
                <w:rFonts w:asciiTheme="minorHAnsi" w:hAnsiTheme="minorHAnsi" w:cs="Arial"/>
              </w:rPr>
            </w:pPr>
          </w:p>
        </w:tc>
      </w:tr>
      <w:tr w:rsidR="00694F7A" w:rsidRPr="009016B5" w:rsidTr="008A2B71">
        <w:tc>
          <w:tcPr>
            <w:tcW w:w="1346" w:type="dxa"/>
          </w:tcPr>
          <w:p w:rsidR="00694F7A" w:rsidRPr="009016B5" w:rsidRDefault="00694F7A" w:rsidP="008A2B71">
            <w:pPr>
              <w:pStyle w:val="Paragraphedeliste"/>
              <w:ind w:left="0"/>
              <w:jc w:val="both"/>
              <w:rPr>
                <w:rFonts w:asciiTheme="minorHAnsi" w:hAnsiTheme="minorHAnsi" w:cs="Arial"/>
              </w:rPr>
            </w:pPr>
          </w:p>
        </w:tc>
        <w:tc>
          <w:tcPr>
            <w:tcW w:w="7796" w:type="dxa"/>
          </w:tcPr>
          <w:p w:rsidR="00694F7A" w:rsidRPr="009016B5" w:rsidRDefault="00694F7A" w:rsidP="008A2B71">
            <w:pPr>
              <w:pStyle w:val="Paragraphedeliste"/>
              <w:ind w:left="0"/>
              <w:jc w:val="both"/>
              <w:rPr>
                <w:rFonts w:asciiTheme="minorHAnsi" w:hAnsiTheme="minorHAnsi" w:cs="Arial"/>
              </w:rPr>
            </w:pPr>
          </w:p>
        </w:tc>
      </w:tr>
      <w:tr w:rsidR="00694F7A" w:rsidRPr="009016B5" w:rsidTr="008A2B71">
        <w:tc>
          <w:tcPr>
            <w:tcW w:w="1346" w:type="dxa"/>
          </w:tcPr>
          <w:p w:rsidR="00694F7A" w:rsidRPr="009016B5" w:rsidRDefault="00694F7A" w:rsidP="008A2B71">
            <w:pPr>
              <w:pStyle w:val="Paragraphedeliste"/>
              <w:ind w:left="0"/>
              <w:jc w:val="both"/>
              <w:rPr>
                <w:rFonts w:asciiTheme="minorHAnsi" w:hAnsiTheme="minorHAnsi" w:cs="Arial"/>
              </w:rPr>
            </w:pPr>
          </w:p>
        </w:tc>
        <w:tc>
          <w:tcPr>
            <w:tcW w:w="7796" w:type="dxa"/>
          </w:tcPr>
          <w:p w:rsidR="00694F7A" w:rsidRPr="009016B5" w:rsidRDefault="00694F7A" w:rsidP="008A2B71">
            <w:pPr>
              <w:pStyle w:val="Paragraphedeliste"/>
              <w:ind w:left="0"/>
              <w:jc w:val="both"/>
              <w:rPr>
                <w:rFonts w:asciiTheme="minorHAnsi" w:hAnsiTheme="minorHAnsi" w:cs="Arial"/>
              </w:rPr>
            </w:pPr>
          </w:p>
        </w:tc>
      </w:tr>
      <w:tr w:rsidR="00694F7A" w:rsidRPr="009016B5" w:rsidTr="008A2B71">
        <w:tc>
          <w:tcPr>
            <w:tcW w:w="1346" w:type="dxa"/>
          </w:tcPr>
          <w:p w:rsidR="00694F7A" w:rsidRPr="009016B5" w:rsidRDefault="00694F7A" w:rsidP="008A2B71">
            <w:pPr>
              <w:pStyle w:val="Paragraphedeliste"/>
              <w:ind w:left="0"/>
              <w:jc w:val="both"/>
              <w:rPr>
                <w:rFonts w:asciiTheme="minorHAnsi" w:hAnsiTheme="minorHAnsi" w:cs="Arial"/>
              </w:rPr>
            </w:pPr>
          </w:p>
        </w:tc>
        <w:tc>
          <w:tcPr>
            <w:tcW w:w="7796" w:type="dxa"/>
          </w:tcPr>
          <w:p w:rsidR="00694F7A" w:rsidRPr="009016B5" w:rsidRDefault="00694F7A" w:rsidP="008A2B71">
            <w:pPr>
              <w:pStyle w:val="Paragraphedeliste"/>
              <w:ind w:left="0"/>
              <w:jc w:val="both"/>
              <w:rPr>
                <w:rFonts w:asciiTheme="minorHAnsi" w:hAnsiTheme="minorHAnsi" w:cs="Arial"/>
              </w:rPr>
            </w:pPr>
          </w:p>
        </w:tc>
      </w:tr>
      <w:tr w:rsidR="00694F7A" w:rsidRPr="009016B5" w:rsidTr="008A2B71">
        <w:tc>
          <w:tcPr>
            <w:tcW w:w="1346" w:type="dxa"/>
          </w:tcPr>
          <w:p w:rsidR="00694F7A" w:rsidRPr="009016B5" w:rsidRDefault="00694F7A" w:rsidP="008A2B71">
            <w:pPr>
              <w:pStyle w:val="Paragraphedeliste"/>
              <w:ind w:left="0"/>
              <w:jc w:val="both"/>
              <w:rPr>
                <w:rFonts w:asciiTheme="minorHAnsi" w:hAnsiTheme="minorHAnsi" w:cs="Arial"/>
              </w:rPr>
            </w:pPr>
          </w:p>
        </w:tc>
        <w:tc>
          <w:tcPr>
            <w:tcW w:w="7796" w:type="dxa"/>
          </w:tcPr>
          <w:p w:rsidR="00694F7A" w:rsidRPr="009016B5" w:rsidRDefault="00694F7A" w:rsidP="008A2B71">
            <w:pPr>
              <w:pStyle w:val="Paragraphedeliste"/>
              <w:ind w:left="0"/>
              <w:jc w:val="both"/>
              <w:rPr>
                <w:rFonts w:asciiTheme="minorHAnsi" w:hAnsiTheme="minorHAnsi" w:cs="Arial"/>
              </w:rPr>
            </w:pPr>
          </w:p>
        </w:tc>
      </w:tr>
      <w:tr w:rsidR="00694F7A" w:rsidRPr="009016B5" w:rsidTr="008A2B71">
        <w:tc>
          <w:tcPr>
            <w:tcW w:w="1346" w:type="dxa"/>
          </w:tcPr>
          <w:p w:rsidR="00694F7A" w:rsidRPr="009016B5" w:rsidRDefault="00694F7A" w:rsidP="008A2B71">
            <w:pPr>
              <w:pStyle w:val="Paragraphedeliste"/>
              <w:ind w:left="0"/>
              <w:jc w:val="both"/>
              <w:rPr>
                <w:rFonts w:asciiTheme="minorHAnsi" w:hAnsiTheme="minorHAnsi" w:cs="Arial"/>
              </w:rPr>
            </w:pPr>
          </w:p>
        </w:tc>
        <w:tc>
          <w:tcPr>
            <w:tcW w:w="7796" w:type="dxa"/>
          </w:tcPr>
          <w:p w:rsidR="00694F7A" w:rsidRPr="009016B5" w:rsidRDefault="00694F7A" w:rsidP="008A2B71">
            <w:pPr>
              <w:pStyle w:val="Paragraphedeliste"/>
              <w:ind w:left="0"/>
              <w:jc w:val="both"/>
              <w:rPr>
                <w:rFonts w:asciiTheme="minorHAnsi" w:hAnsiTheme="minorHAnsi" w:cs="Arial"/>
              </w:rPr>
            </w:pPr>
          </w:p>
        </w:tc>
      </w:tr>
      <w:tr w:rsidR="00694F7A" w:rsidRPr="009016B5" w:rsidTr="008A2B71">
        <w:tc>
          <w:tcPr>
            <w:tcW w:w="1346" w:type="dxa"/>
          </w:tcPr>
          <w:p w:rsidR="00694F7A" w:rsidRPr="009016B5" w:rsidRDefault="00694F7A" w:rsidP="008A2B71">
            <w:pPr>
              <w:pStyle w:val="Paragraphedeliste"/>
              <w:ind w:left="0"/>
              <w:jc w:val="both"/>
              <w:rPr>
                <w:rFonts w:asciiTheme="minorHAnsi" w:hAnsiTheme="minorHAnsi" w:cs="Arial"/>
              </w:rPr>
            </w:pPr>
          </w:p>
        </w:tc>
        <w:tc>
          <w:tcPr>
            <w:tcW w:w="7796" w:type="dxa"/>
          </w:tcPr>
          <w:p w:rsidR="00694F7A" w:rsidRPr="009016B5" w:rsidRDefault="00694F7A" w:rsidP="008A2B71">
            <w:pPr>
              <w:pStyle w:val="Paragraphedeliste"/>
              <w:ind w:left="0"/>
              <w:jc w:val="both"/>
              <w:rPr>
                <w:rFonts w:asciiTheme="minorHAnsi" w:hAnsiTheme="minorHAnsi" w:cs="Arial"/>
              </w:rPr>
            </w:pPr>
          </w:p>
        </w:tc>
      </w:tr>
      <w:tr w:rsidR="00694F7A" w:rsidRPr="009016B5" w:rsidTr="008A2B71">
        <w:tc>
          <w:tcPr>
            <w:tcW w:w="1346" w:type="dxa"/>
          </w:tcPr>
          <w:p w:rsidR="00694F7A" w:rsidRPr="009016B5" w:rsidRDefault="00694F7A" w:rsidP="008A2B71">
            <w:pPr>
              <w:pStyle w:val="Paragraphedeliste"/>
              <w:ind w:left="0"/>
              <w:jc w:val="both"/>
              <w:rPr>
                <w:rFonts w:asciiTheme="minorHAnsi" w:hAnsiTheme="minorHAnsi" w:cs="Arial"/>
              </w:rPr>
            </w:pPr>
          </w:p>
        </w:tc>
        <w:tc>
          <w:tcPr>
            <w:tcW w:w="7796" w:type="dxa"/>
          </w:tcPr>
          <w:p w:rsidR="00694F7A" w:rsidRPr="009016B5" w:rsidRDefault="00694F7A" w:rsidP="008A2B71">
            <w:pPr>
              <w:pStyle w:val="Paragraphedeliste"/>
              <w:ind w:left="0"/>
              <w:jc w:val="both"/>
              <w:rPr>
                <w:rFonts w:asciiTheme="minorHAnsi" w:hAnsiTheme="minorHAnsi" w:cs="Arial"/>
              </w:rPr>
            </w:pPr>
          </w:p>
        </w:tc>
      </w:tr>
      <w:tr w:rsidR="00694F7A" w:rsidRPr="009016B5" w:rsidTr="008A2B71">
        <w:tc>
          <w:tcPr>
            <w:tcW w:w="1346" w:type="dxa"/>
          </w:tcPr>
          <w:p w:rsidR="00694F7A" w:rsidRPr="009016B5" w:rsidRDefault="00694F7A" w:rsidP="008A2B71">
            <w:pPr>
              <w:pStyle w:val="Paragraphedeliste"/>
              <w:ind w:left="0"/>
              <w:jc w:val="both"/>
              <w:rPr>
                <w:rFonts w:asciiTheme="minorHAnsi" w:hAnsiTheme="minorHAnsi" w:cs="Arial"/>
              </w:rPr>
            </w:pPr>
          </w:p>
        </w:tc>
        <w:tc>
          <w:tcPr>
            <w:tcW w:w="7796" w:type="dxa"/>
          </w:tcPr>
          <w:p w:rsidR="00694F7A" w:rsidRPr="009016B5" w:rsidRDefault="00694F7A" w:rsidP="008A2B71">
            <w:pPr>
              <w:pStyle w:val="Paragraphedeliste"/>
              <w:ind w:left="0"/>
              <w:jc w:val="both"/>
              <w:rPr>
                <w:rFonts w:asciiTheme="minorHAnsi" w:hAnsiTheme="minorHAnsi" w:cs="Arial"/>
              </w:rPr>
            </w:pPr>
          </w:p>
        </w:tc>
      </w:tr>
      <w:tr w:rsidR="00694F7A" w:rsidRPr="009016B5" w:rsidTr="008A2B71">
        <w:tc>
          <w:tcPr>
            <w:tcW w:w="1346" w:type="dxa"/>
          </w:tcPr>
          <w:p w:rsidR="00694F7A" w:rsidRPr="009016B5" w:rsidRDefault="00694F7A" w:rsidP="008A2B71">
            <w:pPr>
              <w:pStyle w:val="Paragraphedeliste"/>
              <w:ind w:left="0"/>
              <w:jc w:val="both"/>
              <w:rPr>
                <w:rFonts w:asciiTheme="minorHAnsi" w:hAnsiTheme="minorHAnsi" w:cs="Arial"/>
              </w:rPr>
            </w:pPr>
          </w:p>
        </w:tc>
        <w:tc>
          <w:tcPr>
            <w:tcW w:w="7796" w:type="dxa"/>
          </w:tcPr>
          <w:p w:rsidR="00694F7A" w:rsidRPr="009016B5" w:rsidRDefault="00694F7A" w:rsidP="008A2B71">
            <w:pPr>
              <w:pStyle w:val="Paragraphedeliste"/>
              <w:ind w:left="0"/>
              <w:jc w:val="both"/>
              <w:rPr>
                <w:rFonts w:asciiTheme="minorHAnsi" w:hAnsiTheme="minorHAnsi" w:cs="Arial"/>
              </w:rPr>
            </w:pPr>
          </w:p>
        </w:tc>
      </w:tr>
      <w:tr w:rsidR="00694F7A" w:rsidRPr="009016B5" w:rsidTr="008A2B71">
        <w:tc>
          <w:tcPr>
            <w:tcW w:w="1346" w:type="dxa"/>
          </w:tcPr>
          <w:p w:rsidR="00694F7A" w:rsidRPr="009016B5" w:rsidRDefault="00694F7A" w:rsidP="008A2B71">
            <w:pPr>
              <w:pStyle w:val="Paragraphedeliste"/>
              <w:ind w:left="0"/>
              <w:jc w:val="both"/>
              <w:rPr>
                <w:rFonts w:asciiTheme="minorHAnsi" w:hAnsiTheme="minorHAnsi" w:cs="Arial"/>
              </w:rPr>
            </w:pPr>
          </w:p>
        </w:tc>
        <w:tc>
          <w:tcPr>
            <w:tcW w:w="7796" w:type="dxa"/>
          </w:tcPr>
          <w:p w:rsidR="00694F7A" w:rsidRPr="009016B5" w:rsidRDefault="00694F7A" w:rsidP="008A2B71">
            <w:pPr>
              <w:pStyle w:val="Paragraphedeliste"/>
              <w:ind w:left="0"/>
              <w:jc w:val="both"/>
              <w:rPr>
                <w:rFonts w:asciiTheme="minorHAnsi" w:hAnsiTheme="minorHAnsi" w:cs="Arial"/>
              </w:rPr>
            </w:pPr>
          </w:p>
        </w:tc>
      </w:tr>
    </w:tbl>
    <w:p w:rsidR="00694F7A" w:rsidRPr="00A53CC6" w:rsidRDefault="00694F7A" w:rsidP="00694F7A">
      <w:pPr>
        <w:pStyle w:val="Paragraphedeliste"/>
        <w:ind w:left="0"/>
        <w:jc w:val="both"/>
        <w:rPr>
          <w:rFonts w:asciiTheme="minorHAnsi" w:hAnsiTheme="minorHAnsi" w:cs="Arial"/>
          <w:sz w:val="20"/>
        </w:rPr>
      </w:pPr>
    </w:p>
    <w:p w:rsidR="00EF4994" w:rsidRDefault="00EF4994" w:rsidP="00694F7A"/>
    <w:p w:rsidR="007240D5" w:rsidRDefault="007240D5" w:rsidP="00694F7A"/>
    <w:p w:rsidR="007240D5" w:rsidRDefault="007240D5" w:rsidP="00694F7A"/>
    <w:p w:rsidR="007240D5" w:rsidRDefault="007240D5" w:rsidP="00694F7A"/>
    <w:p w:rsidR="007240D5" w:rsidRDefault="007240D5" w:rsidP="00694F7A"/>
    <w:p w:rsidR="007240D5" w:rsidRDefault="007240D5" w:rsidP="00694F7A"/>
    <w:p w:rsidR="008A2B71" w:rsidRPr="008A2B71" w:rsidRDefault="008A2B71" w:rsidP="008A2B71">
      <w:pPr>
        <w:jc w:val="center"/>
        <w:rPr>
          <w:rFonts w:eastAsia="Calibri" w:cs="Arial"/>
          <w:b/>
          <w:bCs/>
          <w:sz w:val="24"/>
          <w:szCs w:val="24"/>
        </w:rPr>
      </w:pPr>
      <w:r w:rsidRPr="008A2B71">
        <w:rPr>
          <w:rFonts w:eastAsia="Calibri" w:cs="Arial"/>
          <w:b/>
          <w:bCs/>
          <w:sz w:val="24"/>
          <w:szCs w:val="24"/>
        </w:rPr>
        <w:lastRenderedPageBreak/>
        <w:t>Annexe I : Annexe 16 à l’arrêté du 1er décembre 2016 relatif à la gestion des déchets</w:t>
      </w:r>
    </w:p>
    <w:p w:rsidR="008A2B71" w:rsidRPr="009016B5" w:rsidRDefault="008A2B71" w:rsidP="008A2B71">
      <w:pPr>
        <w:pStyle w:val="Default"/>
        <w:jc w:val="both"/>
        <w:rPr>
          <w:rFonts w:asciiTheme="minorHAnsi" w:hAnsiTheme="minorHAnsi"/>
          <w:b/>
          <w:color w:val="auto"/>
          <w:sz w:val="22"/>
          <w:szCs w:val="22"/>
          <w:u w:val="single"/>
        </w:rPr>
      </w:pPr>
      <w:r w:rsidRPr="009016B5">
        <w:rPr>
          <w:rFonts w:asciiTheme="minorHAnsi" w:hAnsiTheme="minorHAnsi"/>
          <w:b/>
          <w:color w:val="auto"/>
          <w:sz w:val="22"/>
          <w:szCs w:val="22"/>
          <w:u w:val="single"/>
        </w:rPr>
        <w:t>Méthode de calcul de la taxe à l’incinération de l’article 41 de l’Ordonnance du 14 juin 2012 relative aux déchets</w:t>
      </w:r>
    </w:p>
    <w:p w:rsidR="008A2B71" w:rsidRPr="009016B5" w:rsidRDefault="008A2B71" w:rsidP="008A2B71">
      <w:pPr>
        <w:pStyle w:val="Default"/>
        <w:jc w:val="both"/>
        <w:rPr>
          <w:rFonts w:asciiTheme="minorHAnsi" w:hAnsiTheme="minorHAnsi"/>
          <w:b/>
          <w:color w:val="auto"/>
          <w:sz w:val="22"/>
          <w:szCs w:val="22"/>
          <w:u w:val="single"/>
        </w:rPr>
      </w:pPr>
    </w:p>
    <w:p w:rsidR="008A2B71" w:rsidRPr="009016B5" w:rsidRDefault="008A2B71" w:rsidP="008A2B71">
      <w:pPr>
        <w:jc w:val="both"/>
        <w:rPr>
          <w:rFonts w:cs="Arial"/>
        </w:rPr>
      </w:pPr>
      <w:r w:rsidRPr="009016B5">
        <w:rPr>
          <w:rFonts w:eastAsia="Calibri" w:cs="Arial"/>
          <w:bCs/>
        </w:rPr>
        <w:t>La méthode de calcul vise à calculer le taux de déchets incinérés rapportés à l’ensemble des déchets ménagers pris en considération pour le calcul de la taxe de l’article 41 et compte tenu de la liste des déchets pris en considération à l’annexe 15</w:t>
      </w:r>
      <w:r w:rsidR="002B46C8">
        <w:rPr>
          <w:rFonts w:eastAsia="Calibri" w:cs="Arial"/>
          <w:bCs/>
        </w:rPr>
        <w:t xml:space="preserve"> </w:t>
      </w:r>
      <w:r w:rsidRPr="009016B5">
        <w:rPr>
          <w:rFonts w:eastAsia="Calibri" w:cs="Arial"/>
          <w:bCs/>
        </w:rPr>
        <w:t>:</w:t>
      </w:r>
    </w:p>
    <w:p w:rsidR="008A2B71" w:rsidRPr="009016B5" w:rsidRDefault="008A2B71" w:rsidP="008A2B71">
      <w:pPr>
        <w:pStyle w:val="Paragraphedeliste"/>
        <w:numPr>
          <w:ilvl w:val="0"/>
          <w:numId w:val="10"/>
        </w:numPr>
        <w:jc w:val="both"/>
        <w:rPr>
          <w:rFonts w:asciiTheme="minorHAnsi" w:hAnsiTheme="minorHAnsi" w:cs="Arial"/>
        </w:rPr>
      </w:pPr>
      <w:r w:rsidRPr="009016B5">
        <w:rPr>
          <w:rFonts w:asciiTheme="minorHAnsi" w:hAnsiTheme="minorHAnsi" w:cs="Arial"/>
        </w:rPr>
        <w:t>le Total (en Tonnes) des déchets ménagers collectés sélectivement pour l’année de l’exercice d’imposition (G) = B+C+D+E+F ;</w:t>
      </w:r>
    </w:p>
    <w:p w:rsidR="008A2B71" w:rsidRPr="009016B5" w:rsidRDefault="008A2B71" w:rsidP="008A2B71">
      <w:pPr>
        <w:pStyle w:val="Paragraphedeliste"/>
        <w:ind w:left="360"/>
        <w:jc w:val="both"/>
        <w:rPr>
          <w:rFonts w:asciiTheme="minorHAnsi" w:hAnsiTheme="minorHAnsi" w:cs="Arial"/>
        </w:rPr>
      </w:pPr>
    </w:p>
    <w:p w:rsidR="008A2B71" w:rsidRPr="009016B5" w:rsidRDefault="008A2B71" w:rsidP="008A2B71">
      <w:pPr>
        <w:pStyle w:val="Paragraphedeliste"/>
        <w:numPr>
          <w:ilvl w:val="0"/>
          <w:numId w:val="10"/>
        </w:numPr>
        <w:jc w:val="both"/>
        <w:rPr>
          <w:rFonts w:asciiTheme="minorHAnsi" w:hAnsiTheme="minorHAnsi" w:cs="Arial"/>
        </w:rPr>
      </w:pPr>
      <w:r w:rsidRPr="009016B5">
        <w:rPr>
          <w:rFonts w:asciiTheme="minorHAnsi" w:hAnsiTheme="minorHAnsi" w:cs="Arial"/>
        </w:rPr>
        <w:t>le Taux d’incinération (H) est le taux visé à l’article 41, §2 pour l’année de l’exercice d’imposition considéré, exprimé en % ;</w:t>
      </w:r>
    </w:p>
    <w:p w:rsidR="008A2B71" w:rsidRPr="009016B5" w:rsidRDefault="008A2B71" w:rsidP="008A2B71">
      <w:pPr>
        <w:spacing w:after="0"/>
        <w:jc w:val="both"/>
        <w:rPr>
          <w:rFonts w:cs="Arial"/>
        </w:rPr>
      </w:pPr>
    </w:p>
    <w:p w:rsidR="008A2B71" w:rsidRPr="009016B5" w:rsidRDefault="008A2B71" w:rsidP="008A2B71">
      <w:pPr>
        <w:jc w:val="both"/>
        <w:rPr>
          <w:rFonts w:cs="Arial"/>
        </w:rPr>
      </w:pPr>
      <w:r w:rsidRPr="009016B5">
        <w:rPr>
          <w:rFonts w:cs="Arial"/>
        </w:rPr>
        <w:t>le Taux d’incinération (Ti), exprimé en %, de l’année de l’exercice d’imposition considéré se calcul comme suit</w:t>
      </w:r>
      <w:r w:rsidRPr="00493AB0">
        <w:rPr>
          <w:rFonts w:cs="Arial"/>
        </w:rPr>
        <w:t xml:space="preserve"> : </w:t>
      </w:r>
      <m:oMath>
        <m:r>
          <w:rPr>
            <w:rFonts w:ascii="Cambria Math" w:hAnsi="Cambria Math" w:cs="Cambria Math"/>
          </w:rPr>
          <m:t>Ti</m:t>
        </m:r>
        <m:r>
          <m:rPr>
            <m:sty m:val="p"/>
          </m:rPr>
          <w:rPr>
            <w:rFonts w:ascii="Cambria Math" w:hAnsi="Cambria Math" w:cs="Cambria Math"/>
          </w:rPr>
          <m:t>=</m:t>
        </m:r>
        <m:f>
          <m:fPr>
            <m:ctrlPr>
              <w:rPr>
                <w:rFonts w:ascii="Cambria Math" w:hAnsi="Cambria Math" w:cs="Arial"/>
                <w:i/>
              </w:rPr>
            </m:ctrlPr>
          </m:fPr>
          <m:num>
            <m:r>
              <w:rPr>
                <w:rFonts w:ascii="Cambria Math" w:hAnsi="Cambria Math" w:cs="Arial"/>
              </w:rPr>
              <m:t>A</m:t>
            </m:r>
          </m:num>
          <m:den>
            <m:r>
              <w:rPr>
                <w:rFonts w:ascii="Cambria Math" w:hAnsi="Cambria Math" w:cs="Cambria Math"/>
              </w:rPr>
              <m:t>A+G</m:t>
            </m:r>
          </m:den>
        </m:f>
      </m:oMath>
    </w:p>
    <w:p w:rsidR="008A2B71" w:rsidRPr="009016B5" w:rsidRDefault="008A2B71" w:rsidP="008A2B71">
      <w:pPr>
        <w:jc w:val="both"/>
        <w:rPr>
          <w:rFonts w:cs="Arial"/>
        </w:rPr>
      </w:pPr>
      <w:r w:rsidRPr="009016B5">
        <w:rPr>
          <w:rFonts w:cs="Arial"/>
        </w:rPr>
        <w:t>Compte tenu de l’article 41, §2 fixant la taxe à 29 € par Tonne (Tt), la taxe à l’incinération (Ta) due visée à l’article 41, §2 se calcule de la manière suivante, exprimé en € :</w:t>
      </w:r>
    </w:p>
    <w:p w:rsidR="008A2B71" w:rsidRDefault="008A2B71" w:rsidP="008A2B71">
      <w:pPr>
        <w:jc w:val="both"/>
        <w:rPr>
          <w:rFonts w:cs="Arial"/>
        </w:rPr>
      </w:pPr>
      <w:r w:rsidRPr="009016B5">
        <w:rPr>
          <w:rFonts w:cs="Arial"/>
        </w:rPr>
        <w:t>Si Ti &gt; H alors, Ta = (Ti - H) x A x 29</w:t>
      </w:r>
    </w:p>
    <w:p w:rsidR="008A2B71" w:rsidRDefault="008A2B71" w:rsidP="008A2B71">
      <w:pPr>
        <w:jc w:val="both"/>
        <w:rPr>
          <w:rFonts w:cs="Arial"/>
        </w:rPr>
      </w:pPr>
    </w:p>
    <w:p w:rsidR="008A2B71" w:rsidRDefault="008A2B71" w:rsidP="008A2B71">
      <w:pPr>
        <w:jc w:val="both"/>
        <w:rPr>
          <w:rFonts w:cs="Arial"/>
        </w:rPr>
      </w:pPr>
    </w:p>
    <w:p w:rsidR="008A2B71" w:rsidRDefault="008A2B71" w:rsidP="008A2B71">
      <w:pPr>
        <w:jc w:val="both"/>
        <w:rPr>
          <w:rFonts w:cs="Arial"/>
        </w:rPr>
      </w:pPr>
    </w:p>
    <w:p w:rsidR="008A2B71" w:rsidRDefault="008A2B71" w:rsidP="008A2B71">
      <w:pPr>
        <w:jc w:val="both"/>
        <w:rPr>
          <w:rFonts w:cs="Arial"/>
        </w:rPr>
      </w:pPr>
    </w:p>
    <w:p w:rsidR="008A2B71" w:rsidRDefault="008A2B71" w:rsidP="008A2B71">
      <w:pPr>
        <w:jc w:val="both"/>
        <w:rPr>
          <w:rFonts w:cs="Arial"/>
        </w:rPr>
      </w:pPr>
    </w:p>
    <w:p w:rsidR="008A2B71" w:rsidRDefault="008A2B71" w:rsidP="008A2B71">
      <w:pPr>
        <w:jc w:val="both"/>
        <w:rPr>
          <w:rFonts w:cs="Arial"/>
        </w:rPr>
      </w:pPr>
    </w:p>
    <w:p w:rsidR="008A2B71" w:rsidRDefault="008A2B71" w:rsidP="008A2B71">
      <w:pPr>
        <w:jc w:val="both"/>
        <w:rPr>
          <w:rFonts w:cs="Arial"/>
        </w:rPr>
      </w:pPr>
    </w:p>
    <w:p w:rsidR="008A2B71" w:rsidRDefault="008A2B71" w:rsidP="008A2B71">
      <w:pPr>
        <w:jc w:val="both"/>
        <w:rPr>
          <w:rFonts w:cs="Arial"/>
        </w:rPr>
      </w:pPr>
    </w:p>
    <w:p w:rsidR="008A2B71" w:rsidRDefault="008A2B71" w:rsidP="008A2B71">
      <w:pPr>
        <w:jc w:val="both"/>
        <w:rPr>
          <w:rFonts w:cs="Arial"/>
        </w:rPr>
      </w:pPr>
    </w:p>
    <w:p w:rsidR="008A2B71" w:rsidRDefault="008A2B71" w:rsidP="008A2B71">
      <w:pPr>
        <w:jc w:val="both"/>
        <w:rPr>
          <w:rFonts w:cs="Arial"/>
        </w:rPr>
      </w:pPr>
    </w:p>
    <w:p w:rsidR="008A2B71" w:rsidRDefault="008A2B71" w:rsidP="008A2B71">
      <w:pPr>
        <w:jc w:val="both"/>
        <w:rPr>
          <w:rFonts w:cs="Arial"/>
        </w:rPr>
      </w:pPr>
    </w:p>
    <w:p w:rsidR="008A2B71" w:rsidRDefault="008A2B71" w:rsidP="008A2B71">
      <w:pPr>
        <w:jc w:val="both"/>
        <w:rPr>
          <w:rFonts w:cs="Arial"/>
        </w:rPr>
      </w:pPr>
    </w:p>
    <w:p w:rsidR="008A2B71" w:rsidRDefault="008A2B71" w:rsidP="008A2B71">
      <w:pPr>
        <w:jc w:val="both"/>
        <w:rPr>
          <w:rFonts w:cs="Arial"/>
        </w:rPr>
      </w:pPr>
    </w:p>
    <w:p w:rsidR="008A2B71" w:rsidRPr="009016B5" w:rsidRDefault="008A2B71" w:rsidP="008A2B71">
      <w:pPr>
        <w:jc w:val="both"/>
        <w:rPr>
          <w:rFonts w:cs="Arial"/>
        </w:rPr>
      </w:pPr>
    </w:p>
    <w:p w:rsidR="007240D5" w:rsidRPr="002B46C8" w:rsidRDefault="002B46C8" w:rsidP="007240D5">
      <w:pPr>
        <w:jc w:val="both"/>
        <w:rPr>
          <w:rFonts w:eastAsia="Calibri" w:cs="Arial"/>
          <w:b/>
          <w:bCs/>
          <w:sz w:val="24"/>
          <w:szCs w:val="24"/>
        </w:rPr>
      </w:pPr>
      <w:r w:rsidRPr="002B46C8">
        <w:rPr>
          <w:rFonts w:eastAsia="Calibri" w:cs="Arial"/>
          <w:b/>
          <w:bCs/>
          <w:sz w:val="24"/>
          <w:szCs w:val="24"/>
        </w:rPr>
        <w:lastRenderedPageBreak/>
        <w:t xml:space="preserve">Annexe 2 : </w:t>
      </w:r>
      <w:r w:rsidR="007240D5" w:rsidRPr="002B46C8">
        <w:rPr>
          <w:rFonts w:eastAsia="Calibri" w:cs="Arial"/>
          <w:b/>
          <w:bCs/>
          <w:sz w:val="24"/>
          <w:szCs w:val="24"/>
        </w:rPr>
        <w:t>Annexe 15 à l’arrêté du 1er décembre 2016 relatif à la gestion des déchets</w:t>
      </w:r>
    </w:p>
    <w:p w:rsidR="007240D5" w:rsidRPr="009016B5" w:rsidRDefault="007240D5" w:rsidP="007240D5">
      <w:pPr>
        <w:jc w:val="both"/>
        <w:rPr>
          <w:rFonts w:cs="Arial"/>
        </w:rPr>
      </w:pPr>
      <w:r w:rsidRPr="009016B5">
        <w:rPr>
          <w:rFonts w:cs="Arial"/>
          <w:b/>
          <w:sz w:val="24"/>
          <w:szCs w:val="24"/>
          <w:u w:val="single"/>
        </w:rPr>
        <w:t>Inventaire des déchets pris en considération pour le calcul de la taxe à l’incinération de l’article 41 de l’ordonnance 14 juin 2012 relative aux déchets et leurs caractéristiques statistiques </w:t>
      </w:r>
    </w:p>
    <w:p w:rsidR="007240D5" w:rsidRPr="009016B5" w:rsidRDefault="007240D5" w:rsidP="007240D5">
      <w:pPr>
        <w:jc w:val="both"/>
        <w:rPr>
          <w:rFonts w:cs="Arial"/>
        </w:rPr>
      </w:pPr>
      <w:r w:rsidRPr="009016B5">
        <w:rPr>
          <w:rFonts w:cs="Arial"/>
        </w:rPr>
        <w:t>Tous les flux collectés sélectivement en vue du recyclage sont considérés comme recyclés à 100%.</w:t>
      </w:r>
    </w:p>
    <w:p w:rsidR="007240D5" w:rsidRPr="009016B5" w:rsidRDefault="007240D5" w:rsidP="007240D5">
      <w:pPr>
        <w:jc w:val="both"/>
        <w:rPr>
          <w:rFonts w:cs="Arial"/>
          <w:u w:val="single"/>
        </w:rPr>
      </w:pPr>
      <w:r w:rsidRPr="009016B5">
        <w:rPr>
          <w:rFonts w:cs="Arial"/>
          <w:u w:val="single"/>
        </w:rPr>
        <w:t>Les déchets collectés par l’Agence régionale de Propreté</w:t>
      </w:r>
    </w:p>
    <w:p w:rsidR="007240D5" w:rsidRPr="009016B5" w:rsidRDefault="007240D5" w:rsidP="007240D5">
      <w:pPr>
        <w:jc w:val="both"/>
        <w:rPr>
          <w:rFonts w:cs="Arial"/>
        </w:rPr>
      </w:pPr>
      <w:r w:rsidRPr="009016B5">
        <w:rPr>
          <w:rFonts w:cs="Arial"/>
        </w:rPr>
        <w:t>Les déchets à prendre en considération pour le calcul de la taxe sont les déchets ménagers collectés par l’Agence Régionale de Propreté ou le cas échéant par un des sous-traitants de celle-ci suivants :</w:t>
      </w:r>
    </w:p>
    <w:tbl>
      <w:tblPr>
        <w:tblStyle w:val="Grilledutableau"/>
        <w:tblW w:w="0" w:type="auto"/>
        <w:tblInd w:w="0" w:type="dxa"/>
        <w:tblLayout w:type="fixed"/>
        <w:tblLook w:val="04A0" w:firstRow="1" w:lastRow="0" w:firstColumn="1" w:lastColumn="0" w:noHBand="0" w:noVBand="1"/>
      </w:tblPr>
      <w:tblGrid>
        <w:gridCol w:w="1384"/>
        <w:gridCol w:w="7796"/>
      </w:tblGrid>
      <w:tr w:rsidR="007240D5" w:rsidRPr="009016B5" w:rsidTr="008A2B71">
        <w:trPr>
          <w:trHeight w:val="907"/>
        </w:trPr>
        <w:tc>
          <w:tcPr>
            <w:tcW w:w="1384"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pStyle w:val="Default"/>
              <w:jc w:val="both"/>
              <w:rPr>
                <w:rFonts w:asciiTheme="minorHAnsi" w:hAnsiTheme="minorHAnsi"/>
                <w:b/>
                <w:color w:val="auto"/>
                <w:sz w:val="22"/>
                <w:szCs w:val="22"/>
              </w:rPr>
            </w:pPr>
            <w:r w:rsidRPr="009016B5">
              <w:rPr>
                <w:rFonts w:asciiTheme="minorHAnsi" w:hAnsiTheme="minorHAnsi"/>
                <w:b/>
                <w:color w:val="auto"/>
                <w:sz w:val="22"/>
                <w:szCs w:val="22"/>
              </w:rPr>
              <w:t xml:space="preserve">Référence </w:t>
            </w:r>
          </w:p>
        </w:tc>
        <w:tc>
          <w:tcPr>
            <w:tcW w:w="7796" w:type="dxa"/>
            <w:tcBorders>
              <w:top w:val="single" w:sz="4" w:space="0" w:color="auto"/>
              <w:left w:val="single" w:sz="4" w:space="0" w:color="auto"/>
              <w:bottom w:val="single" w:sz="4" w:space="0" w:color="auto"/>
              <w:right w:val="single" w:sz="4" w:space="0" w:color="auto"/>
            </w:tcBorders>
            <w:hideMark/>
          </w:tcPr>
          <w:p w:rsidR="007240D5" w:rsidRPr="009016B5" w:rsidRDefault="007240D5" w:rsidP="008A2B71">
            <w:pPr>
              <w:jc w:val="both"/>
              <w:rPr>
                <w:rFonts w:cs="Arial"/>
                <w:b/>
              </w:rPr>
            </w:pPr>
            <w:r w:rsidRPr="009016B5">
              <w:rPr>
                <w:rFonts w:cs="Arial"/>
                <w:b/>
              </w:rPr>
              <w:t xml:space="preserve">Flux de Déchets ménagers collectés par l’Agence Régionale de Propreté </w:t>
            </w:r>
          </w:p>
        </w:tc>
      </w:tr>
      <w:tr w:rsidR="007240D5" w:rsidRPr="009016B5" w:rsidTr="008A2B71">
        <w:tc>
          <w:tcPr>
            <w:tcW w:w="1384"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A</w:t>
            </w:r>
          </w:p>
        </w:tc>
        <w:tc>
          <w:tcPr>
            <w:tcW w:w="7796"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 xml:space="preserve">Total (en tonne) des déchets ménagers collectés non sélectivement par l’Agence, en porte à porte, par lève-conteneurs et autres déchets incinérables considérés comme </w:t>
            </w:r>
            <w:r w:rsidRPr="009016B5">
              <w:rPr>
                <w:rFonts w:cs="Arial"/>
                <w:b/>
              </w:rPr>
              <w:t>résiduels</w:t>
            </w:r>
            <w:r w:rsidRPr="009016B5">
              <w:rPr>
                <w:rFonts w:cs="Arial"/>
              </w:rPr>
              <w:t xml:space="preserve"> et incinérés. Ces déchets ne comprennent pas les déchets de nettoyage des rues, déchets provenant des poubelles publiques et les déchets abandonnés qui ne peuvent être attribués au détenteur de déchets et qui sont incinérés.</w:t>
            </w:r>
          </w:p>
        </w:tc>
      </w:tr>
      <w:tr w:rsidR="007240D5" w:rsidRPr="009016B5" w:rsidTr="008A2B71">
        <w:tc>
          <w:tcPr>
            <w:tcW w:w="1384"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B1</w:t>
            </w:r>
          </w:p>
        </w:tc>
        <w:tc>
          <w:tcPr>
            <w:tcW w:w="7796"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 xml:space="preserve">Tonnage (en Tonne) des </w:t>
            </w:r>
            <w:r w:rsidRPr="009016B5">
              <w:rPr>
                <w:rFonts w:cs="Arial"/>
                <w:b/>
              </w:rPr>
              <w:t>papiers et cartons</w:t>
            </w:r>
            <w:r w:rsidRPr="009016B5">
              <w:rPr>
                <w:rFonts w:cs="Arial"/>
              </w:rPr>
              <w:t xml:space="preserve"> provenant des ménages et collectés sélectivement en vue de leur recyclage</w:t>
            </w:r>
          </w:p>
        </w:tc>
      </w:tr>
      <w:tr w:rsidR="007240D5" w:rsidRPr="009016B5" w:rsidTr="008A2B71">
        <w:tc>
          <w:tcPr>
            <w:tcW w:w="1384"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B2</w:t>
            </w:r>
          </w:p>
        </w:tc>
        <w:tc>
          <w:tcPr>
            <w:tcW w:w="7796" w:type="dxa"/>
            <w:tcBorders>
              <w:top w:val="single" w:sz="4" w:space="0" w:color="auto"/>
              <w:left w:val="single" w:sz="4" w:space="0" w:color="auto"/>
              <w:bottom w:val="single" w:sz="4" w:space="0" w:color="auto"/>
              <w:right w:val="single" w:sz="4" w:space="0" w:color="auto"/>
            </w:tcBorders>
            <w:hideMark/>
          </w:tcPr>
          <w:p w:rsidR="007240D5" w:rsidRPr="009016B5" w:rsidRDefault="007240D5" w:rsidP="008A2B71">
            <w:pPr>
              <w:jc w:val="both"/>
              <w:rPr>
                <w:rFonts w:cs="Arial"/>
              </w:rPr>
            </w:pPr>
            <w:r w:rsidRPr="009016B5">
              <w:rPr>
                <w:rFonts w:cs="Arial"/>
              </w:rPr>
              <w:t xml:space="preserve">Total des </w:t>
            </w:r>
            <w:r w:rsidRPr="009016B5">
              <w:rPr>
                <w:rFonts w:cs="Arial"/>
                <w:b/>
              </w:rPr>
              <w:t>déchets PMC</w:t>
            </w:r>
            <w:r w:rsidRPr="009016B5">
              <w:rPr>
                <w:rFonts w:cs="Arial"/>
              </w:rPr>
              <w:t xml:space="preserve"> provenant des ménages et collectés sélectivement en vue de leur recyclage.</w:t>
            </w:r>
          </w:p>
        </w:tc>
      </w:tr>
      <w:tr w:rsidR="007240D5" w:rsidRPr="009016B5" w:rsidTr="008A2B71">
        <w:tc>
          <w:tcPr>
            <w:tcW w:w="1384"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B3</w:t>
            </w:r>
          </w:p>
        </w:tc>
        <w:tc>
          <w:tcPr>
            <w:tcW w:w="7796" w:type="dxa"/>
            <w:tcBorders>
              <w:top w:val="single" w:sz="4" w:space="0" w:color="auto"/>
              <w:left w:val="single" w:sz="4" w:space="0" w:color="auto"/>
              <w:bottom w:val="single" w:sz="4" w:space="0" w:color="auto"/>
              <w:right w:val="single" w:sz="4" w:space="0" w:color="auto"/>
            </w:tcBorders>
            <w:hideMark/>
          </w:tcPr>
          <w:p w:rsidR="007240D5" w:rsidRPr="009016B5" w:rsidRDefault="007240D5" w:rsidP="008A2B71">
            <w:pPr>
              <w:jc w:val="both"/>
              <w:rPr>
                <w:rFonts w:cs="Arial"/>
              </w:rPr>
            </w:pPr>
            <w:r w:rsidRPr="009016B5">
              <w:rPr>
                <w:rFonts w:cs="Arial"/>
              </w:rPr>
              <w:t xml:space="preserve">Total (en Tonne) des </w:t>
            </w:r>
            <w:r w:rsidRPr="009016B5">
              <w:rPr>
                <w:rFonts w:cs="Arial"/>
                <w:b/>
              </w:rPr>
              <w:t>déchets verts</w:t>
            </w:r>
            <w:r w:rsidRPr="009016B5">
              <w:rPr>
                <w:rFonts w:cs="Arial"/>
              </w:rPr>
              <w:t xml:space="preserve"> provenant des ménages et collectés sélectivement en vue de leur recyclage.</w:t>
            </w:r>
          </w:p>
        </w:tc>
      </w:tr>
      <w:tr w:rsidR="007240D5" w:rsidRPr="009016B5" w:rsidTr="008A2B71">
        <w:tc>
          <w:tcPr>
            <w:tcW w:w="1384"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B4</w:t>
            </w:r>
          </w:p>
        </w:tc>
        <w:tc>
          <w:tcPr>
            <w:tcW w:w="7796" w:type="dxa"/>
            <w:tcBorders>
              <w:top w:val="single" w:sz="4" w:space="0" w:color="auto"/>
              <w:left w:val="single" w:sz="4" w:space="0" w:color="auto"/>
              <w:bottom w:val="single" w:sz="4" w:space="0" w:color="auto"/>
              <w:right w:val="single" w:sz="4" w:space="0" w:color="auto"/>
            </w:tcBorders>
            <w:hideMark/>
          </w:tcPr>
          <w:p w:rsidR="007240D5" w:rsidRPr="009016B5" w:rsidRDefault="007240D5" w:rsidP="008A2B71">
            <w:pPr>
              <w:jc w:val="both"/>
              <w:rPr>
                <w:rFonts w:cs="Arial"/>
              </w:rPr>
            </w:pPr>
            <w:r w:rsidRPr="009016B5">
              <w:rPr>
                <w:rFonts w:cs="Arial"/>
              </w:rPr>
              <w:t xml:space="preserve">Total (en Tonne) </w:t>
            </w:r>
            <w:r w:rsidRPr="009016B5">
              <w:rPr>
                <w:rFonts w:cs="Arial"/>
                <w:b/>
              </w:rPr>
              <w:t>des emballages en verre</w:t>
            </w:r>
            <w:r w:rsidRPr="009016B5">
              <w:rPr>
                <w:rFonts w:cs="Arial"/>
              </w:rPr>
              <w:t xml:space="preserve"> provenant des ménages </w:t>
            </w:r>
          </w:p>
        </w:tc>
      </w:tr>
      <w:tr w:rsidR="007240D5" w:rsidRPr="009016B5" w:rsidTr="008A2B71">
        <w:tc>
          <w:tcPr>
            <w:tcW w:w="1384"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B5</w:t>
            </w:r>
          </w:p>
        </w:tc>
        <w:tc>
          <w:tcPr>
            <w:tcW w:w="7796" w:type="dxa"/>
            <w:tcBorders>
              <w:top w:val="single" w:sz="4" w:space="0" w:color="auto"/>
              <w:left w:val="single" w:sz="4" w:space="0" w:color="auto"/>
              <w:bottom w:val="single" w:sz="4" w:space="0" w:color="auto"/>
              <w:right w:val="single" w:sz="4" w:space="0" w:color="auto"/>
            </w:tcBorders>
            <w:hideMark/>
          </w:tcPr>
          <w:p w:rsidR="007240D5" w:rsidRPr="009016B5" w:rsidRDefault="007240D5" w:rsidP="008A2B71">
            <w:pPr>
              <w:jc w:val="both"/>
              <w:rPr>
                <w:rFonts w:cs="Arial"/>
              </w:rPr>
            </w:pPr>
            <w:r w:rsidRPr="009016B5">
              <w:rPr>
                <w:rFonts w:cs="Arial"/>
              </w:rPr>
              <w:t xml:space="preserve">Total (en Tonne) des </w:t>
            </w:r>
            <w:r w:rsidRPr="009016B5">
              <w:rPr>
                <w:rFonts w:cs="Arial"/>
                <w:b/>
              </w:rPr>
              <w:t>déchets alimentaires</w:t>
            </w:r>
            <w:r w:rsidRPr="009016B5">
              <w:rPr>
                <w:rFonts w:cs="Arial"/>
              </w:rPr>
              <w:t xml:space="preserve"> provenant des ménages et collectés sélectivement en vue de leur recyclage</w:t>
            </w:r>
          </w:p>
        </w:tc>
      </w:tr>
      <w:tr w:rsidR="007240D5" w:rsidRPr="009016B5" w:rsidTr="008A2B71">
        <w:tc>
          <w:tcPr>
            <w:tcW w:w="1384"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B6</w:t>
            </w:r>
          </w:p>
        </w:tc>
        <w:tc>
          <w:tcPr>
            <w:tcW w:w="7796" w:type="dxa"/>
            <w:tcBorders>
              <w:top w:val="single" w:sz="4" w:space="0" w:color="auto"/>
              <w:left w:val="single" w:sz="4" w:space="0" w:color="auto"/>
              <w:bottom w:val="single" w:sz="4" w:space="0" w:color="auto"/>
              <w:right w:val="single" w:sz="4" w:space="0" w:color="auto"/>
            </w:tcBorders>
            <w:hideMark/>
          </w:tcPr>
          <w:p w:rsidR="007240D5" w:rsidRPr="009016B5" w:rsidRDefault="007240D5" w:rsidP="008A2B71">
            <w:pPr>
              <w:jc w:val="both"/>
              <w:rPr>
                <w:rFonts w:cs="Arial"/>
              </w:rPr>
            </w:pPr>
            <w:r w:rsidRPr="009016B5">
              <w:rPr>
                <w:rFonts w:cs="Arial"/>
              </w:rPr>
              <w:t xml:space="preserve">Total (en Tonne) des </w:t>
            </w:r>
            <w:r w:rsidRPr="009016B5">
              <w:rPr>
                <w:rFonts w:cs="Arial"/>
                <w:b/>
              </w:rPr>
              <w:t>métaux</w:t>
            </w:r>
            <w:r w:rsidRPr="009016B5">
              <w:rPr>
                <w:rFonts w:cs="Arial"/>
              </w:rPr>
              <w:t xml:space="preserve"> provenant des ménages et collectés sélectivement en vue de leur recyclage, à l’exclusion des ferrailles/mâchefers triées après incinération.</w:t>
            </w:r>
          </w:p>
        </w:tc>
      </w:tr>
      <w:tr w:rsidR="007240D5" w:rsidRPr="009016B5" w:rsidTr="008A2B71">
        <w:tc>
          <w:tcPr>
            <w:tcW w:w="1384"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B7</w:t>
            </w:r>
          </w:p>
        </w:tc>
        <w:tc>
          <w:tcPr>
            <w:tcW w:w="7796" w:type="dxa"/>
            <w:tcBorders>
              <w:top w:val="single" w:sz="4" w:space="0" w:color="auto"/>
              <w:left w:val="single" w:sz="4" w:space="0" w:color="auto"/>
              <w:bottom w:val="single" w:sz="4" w:space="0" w:color="auto"/>
              <w:right w:val="single" w:sz="4" w:space="0" w:color="auto"/>
            </w:tcBorders>
            <w:hideMark/>
          </w:tcPr>
          <w:p w:rsidR="007240D5" w:rsidRPr="009016B5" w:rsidRDefault="007240D5" w:rsidP="008A2B71">
            <w:pPr>
              <w:jc w:val="both"/>
              <w:rPr>
                <w:rFonts w:cs="Arial"/>
              </w:rPr>
            </w:pPr>
            <w:r w:rsidRPr="009016B5">
              <w:rPr>
                <w:rFonts w:cs="Arial"/>
              </w:rPr>
              <w:t xml:space="preserve">Total (en Tonne) des déchets de </w:t>
            </w:r>
            <w:r w:rsidRPr="009016B5">
              <w:rPr>
                <w:rFonts w:cs="Arial"/>
                <w:b/>
              </w:rPr>
              <w:t>câbles électriques</w:t>
            </w:r>
            <w:r w:rsidRPr="009016B5">
              <w:rPr>
                <w:rFonts w:cs="Arial"/>
              </w:rPr>
              <w:t xml:space="preserve"> provenant des ménages et collectés sélectivement en vue de leur recyclage</w:t>
            </w:r>
          </w:p>
        </w:tc>
      </w:tr>
      <w:tr w:rsidR="007240D5" w:rsidRPr="009016B5" w:rsidTr="008A2B71">
        <w:tc>
          <w:tcPr>
            <w:tcW w:w="1384"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B8</w:t>
            </w:r>
          </w:p>
        </w:tc>
        <w:tc>
          <w:tcPr>
            <w:tcW w:w="7796" w:type="dxa"/>
            <w:tcBorders>
              <w:top w:val="single" w:sz="4" w:space="0" w:color="auto"/>
              <w:left w:val="single" w:sz="4" w:space="0" w:color="auto"/>
              <w:bottom w:val="single" w:sz="4" w:space="0" w:color="auto"/>
              <w:right w:val="single" w:sz="4" w:space="0" w:color="auto"/>
            </w:tcBorders>
            <w:hideMark/>
          </w:tcPr>
          <w:p w:rsidR="007240D5" w:rsidRPr="009016B5" w:rsidRDefault="007240D5" w:rsidP="008A2B71">
            <w:pPr>
              <w:jc w:val="both"/>
              <w:rPr>
                <w:rFonts w:cs="Arial"/>
              </w:rPr>
            </w:pPr>
            <w:r w:rsidRPr="009016B5">
              <w:rPr>
                <w:rFonts w:cs="Arial"/>
              </w:rPr>
              <w:t xml:space="preserve">Total (en Tonne) des </w:t>
            </w:r>
            <w:r w:rsidRPr="009016B5">
              <w:rPr>
                <w:rFonts w:cs="Arial"/>
                <w:b/>
              </w:rPr>
              <w:t xml:space="preserve">déchets de bois </w:t>
            </w:r>
            <w:r w:rsidRPr="009016B5">
              <w:rPr>
                <w:rFonts w:cs="Arial"/>
              </w:rPr>
              <w:t xml:space="preserve">provenant des ménages et collectés sélectivement en vue de du réemploi et du recyclage </w:t>
            </w:r>
          </w:p>
        </w:tc>
      </w:tr>
      <w:tr w:rsidR="007240D5" w:rsidRPr="009016B5" w:rsidTr="008A2B71">
        <w:tc>
          <w:tcPr>
            <w:tcW w:w="1384"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B9</w:t>
            </w:r>
          </w:p>
        </w:tc>
        <w:tc>
          <w:tcPr>
            <w:tcW w:w="7796"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 xml:space="preserve">Total (en Tonne) des </w:t>
            </w:r>
            <w:r w:rsidRPr="009016B5">
              <w:rPr>
                <w:rFonts w:cs="Arial"/>
                <w:b/>
              </w:rPr>
              <w:t>déchets textiles</w:t>
            </w:r>
            <w:r w:rsidRPr="009016B5">
              <w:rPr>
                <w:rFonts w:cs="Arial"/>
              </w:rPr>
              <w:t xml:space="preserve"> provenant des ménages et collectés sélectivement en vue du réemploi et du recyclage</w:t>
            </w:r>
          </w:p>
        </w:tc>
      </w:tr>
      <w:tr w:rsidR="007240D5" w:rsidRPr="009016B5" w:rsidTr="008A2B71">
        <w:tc>
          <w:tcPr>
            <w:tcW w:w="1384"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B10</w:t>
            </w:r>
          </w:p>
        </w:tc>
        <w:tc>
          <w:tcPr>
            <w:tcW w:w="7796" w:type="dxa"/>
            <w:tcBorders>
              <w:top w:val="single" w:sz="4" w:space="0" w:color="auto"/>
              <w:left w:val="single" w:sz="4" w:space="0" w:color="auto"/>
              <w:bottom w:val="single" w:sz="4" w:space="0" w:color="auto"/>
              <w:right w:val="single" w:sz="4" w:space="0" w:color="auto"/>
            </w:tcBorders>
            <w:hideMark/>
          </w:tcPr>
          <w:p w:rsidR="007240D5" w:rsidRPr="009016B5" w:rsidRDefault="007240D5" w:rsidP="008A2B71">
            <w:pPr>
              <w:jc w:val="both"/>
              <w:rPr>
                <w:rFonts w:cs="Arial"/>
              </w:rPr>
            </w:pPr>
            <w:r w:rsidRPr="009016B5">
              <w:rPr>
                <w:rFonts w:cs="Arial"/>
              </w:rPr>
              <w:t xml:space="preserve">Total (en Tonne) des </w:t>
            </w:r>
            <w:r w:rsidRPr="009016B5">
              <w:rPr>
                <w:rFonts w:cs="Arial"/>
                <w:b/>
              </w:rPr>
              <w:t>déchets de plastiques durs</w:t>
            </w:r>
            <w:r w:rsidRPr="009016B5">
              <w:rPr>
                <w:rFonts w:cs="Arial"/>
              </w:rPr>
              <w:t xml:space="preserve"> provenant des ménages et collectés sélectivement en vue de leur remploi et de leur recyclage </w:t>
            </w:r>
          </w:p>
        </w:tc>
      </w:tr>
      <w:tr w:rsidR="007240D5" w:rsidRPr="009016B5" w:rsidTr="008A2B71">
        <w:tc>
          <w:tcPr>
            <w:tcW w:w="1384"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B11</w:t>
            </w:r>
          </w:p>
        </w:tc>
        <w:tc>
          <w:tcPr>
            <w:tcW w:w="7796"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 xml:space="preserve">Total (en Tonne) des déchets de </w:t>
            </w:r>
            <w:r w:rsidRPr="009016B5">
              <w:rPr>
                <w:rFonts w:cs="Arial"/>
                <w:b/>
              </w:rPr>
              <w:t>frigolites</w:t>
            </w:r>
            <w:r w:rsidRPr="009016B5">
              <w:rPr>
                <w:rFonts w:cs="Arial"/>
              </w:rPr>
              <w:t xml:space="preserve"> provenant des ménages et collectés sélectivement en vue du réemploi et du recyclage</w:t>
            </w:r>
          </w:p>
        </w:tc>
      </w:tr>
      <w:tr w:rsidR="007240D5" w:rsidRPr="009016B5" w:rsidTr="008A2B71">
        <w:tc>
          <w:tcPr>
            <w:tcW w:w="1384"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B12</w:t>
            </w:r>
          </w:p>
        </w:tc>
        <w:tc>
          <w:tcPr>
            <w:tcW w:w="7796"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 xml:space="preserve">Total (en Tonne) des déchets de </w:t>
            </w:r>
            <w:r w:rsidRPr="009016B5">
              <w:rPr>
                <w:rFonts w:cs="Arial"/>
                <w:b/>
              </w:rPr>
              <w:t xml:space="preserve">pots à fleurs </w:t>
            </w:r>
            <w:r w:rsidRPr="009016B5">
              <w:rPr>
                <w:rFonts w:cs="Arial"/>
              </w:rPr>
              <w:t>provenant des ménages et collectés sélectivement en vue du réemploi et du recyclage</w:t>
            </w:r>
          </w:p>
        </w:tc>
      </w:tr>
      <w:tr w:rsidR="007240D5" w:rsidRPr="009016B5" w:rsidTr="008A2B71">
        <w:tc>
          <w:tcPr>
            <w:tcW w:w="1384"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B13</w:t>
            </w:r>
          </w:p>
        </w:tc>
        <w:tc>
          <w:tcPr>
            <w:tcW w:w="7796"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 xml:space="preserve">Total (en Tonne) des déchets de </w:t>
            </w:r>
            <w:r w:rsidRPr="009016B5">
              <w:rPr>
                <w:rFonts w:cs="Arial"/>
                <w:b/>
              </w:rPr>
              <w:t>cageots en plastique</w:t>
            </w:r>
            <w:r w:rsidRPr="009016B5">
              <w:rPr>
                <w:rFonts w:cs="Arial"/>
              </w:rPr>
              <w:t xml:space="preserve"> provenant des ménages et collectés sélectivement en vue du réemploi et du recyclage </w:t>
            </w:r>
          </w:p>
        </w:tc>
      </w:tr>
      <w:tr w:rsidR="007240D5" w:rsidRPr="009016B5" w:rsidTr="008A2B71">
        <w:tc>
          <w:tcPr>
            <w:tcW w:w="1384"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B14</w:t>
            </w:r>
          </w:p>
        </w:tc>
        <w:tc>
          <w:tcPr>
            <w:tcW w:w="7796" w:type="dxa"/>
            <w:tcBorders>
              <w:top w:val="single" w:sz="4" w:space="0" w:color="auto"/>
              <w:left w:val="single" w:sz="4" w:space="0" w:color="auto"/>
              <w:bottom w:val="single" w:sz="4" w:space="0" w:color="auto"/>
              <w:right w:val="single" w:sz="4" w:space="0" w:color="auto"/>
            </w:tcBorders>
          </w:tcPr>
          <w:p w:rsidR="007240D5" w:rsidRPr="009016B5" w:rsidDel="001D07EC" w:rsidRDefault="007240D5" w:rsidP="008A2B71">
            <w:pPr>
              <w:jc w:val="both"/>
              <w:rPr>
                <w:rFonts w:cs="Arial"/>
              </w:rPr>
            </w:pPr>
            <w:r w:rsidRPr="009016B5">
              <w:rPr>
                <w:rFonts w:cs="Arial"/>
              </w:rPr>
              <w:t xml:space="preserve">Total (en Tonne) des déchets de </w:t>
            </w:r>
            <w:r w:rsidRPr="009016B5">
              <w:rPr>
                <w:rFonts w:cs="Arial"/>
                <w:b/>
              </w:rPr>
              <w:t>batteries au plomb</w:t>
            </w:r>
            <w:r w:rsidRPr="009016B5">
              <w:rPr>
                <w:rFonts w:cs="Arial"/>
              </w:rPr>
              <w:t xml:space="preserve"> provenant des ménages et collectés sélectivement en vue du réemploi et de du recyclage</w:t>
            </w:r>
          </w:p>
        </w:tc>
      </w:tr>
      <w:tr w:rsidR="007240D5" w:rsidRPr="009016B5" w:rsidTr="008A2B71">
        <w:tc>
          <w:tcPr>
            <w:tcW w:w="1384"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B15</w:t>
            </w:r>
          </w:p>
        </w:tc>
        <w:tc>
          <w:tcPr>
            <w:tcW w:w="7796" w:type="dxa"/>
            <w:tcBorders>
              <w:top w:val="single" w:sz="4" w:space="0" w:color="auto"/>
              <w:left w:val="single" w:sz="4" w:space="0" w:color="auto"/>
              <w:bottom w:val="single" w:sz="4" w:space="0" w:color="auto"/>
              <w:right w:val="single" w:sz="4" w:space="0" w:color="auto"/>
            </w:tcBorders>
            <w:hideMark/>
          </w:tcPr>
          <w:p w:rsidR="007240D5" w:rsidRPr="009016B5" w:rsidRDefault="007240D5" w:rsidP="008A2B71">
            <w:pPr>
              <w:jc w:val="both"/>
              <w:rPr>
                <w:rFonts w:cs="Arial"/>
              </w:rPr>
            </w:pPr>
            <w:r w:rsidRPr="009016B5">
              <w:rPr>
                <w:rFonts w:cs="Arial"/>
              </w:rPr>
              <w:t xml:space="preserve">Total (en Tonne) des </w:t>
            </w:r>
            <w:r w:rsidRPr="009016B5">
              <w:rPr>
                <w:rFonts w:cs="Arial"/>
                <w:b/>
              </w:rPr>
              <w:t>déchets chimiques</w:t>
            </w:r>
            <w:r w:rsidRPr="009016B5">
              <w:rPr>
                <w:rFonts w:cs="Arial"/>
              </w:rPr>
              <w:t xml:space="preserve"> provenant des ménages et collectés sélectivement en vue de leur recyclage </w:t>
            </w:r>
          </w:p>
        </w:tc>
      </w:tr>
      <w:tr w:rsidR="007240D5" w:rsidRPr="009016B5" w:rsidTr="008A2B71">
        <w:tc>
          <w:tcPr>
            <w:tcW w:w="1384"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lastRenderedPageBreak/>
              <w:t>B16</w:t>
            </w:r>
          </w:p>
        </w:tc>
        <w:tc>
          <w:tcPr>
            <w:tcW w:w="7796" w:type="dxa"/>
            <w:tcBorders>
              <w:top w:val="single" w:sz="4" w:space="0" w:color="auto"/>
              <w:left w:val="single" w:sz="4" w:space="0" w:color="auto"/>
              <w:bottom w:val="single" w:sz="4" w:space="0" w:color="auto"/>
              <w:right w:val="single" w:sz="4" w:space="0" w:color="auto"/>
            </w:tcBorders>
            <w:hideMark/>
          </w:tcPr>
          <w:p w:rsidR="007240D5" w:rsidRPr="009016B5" w:rsidRDefault="007240D5" w:rsidP="008A2B71">
            <w:pPr>
              <w:jc w:val="both"/>
              <w:rPr>
                <w:rFonts w:cs="Arial"/>
              </w:rPr>
            </w:pPr>
            <w:r w:rsidRPr="009016B5">
              <w:rPr>
                <w:rFonts w:cs="Arial"/>
              </w:rPr>
              <w:t xml:space="preserve">Total (en Tonne) des </w:t>
            </w:r>
            <w:r w:rsidRPr="009016B5">
              <w:rPr>
                <w:rFonts w:cs="Arial"/>
                <w:b/>
              </w:rPr>
              <w:t>déchets de Palettes en bois</w:t>
            </w:r>
            <w:r w:rsidRPr="009016B5">
              <w:rPr>
                <w:rFonts w:cs="Arial"/>
              </w:rPr>
              <w:t xml:space="preserve"> provenant des ménages et collectés sélectivement en vue du réemploi et du recyclage</w:t>
            </w:r>
          </w:p>
        </w:tc>
      </w:tr>
      <w:tr w:rsidR="007240D5" w:rsidRPr="009016B5" w:rsidTr="008A2B71">
        <w:tc>
          <w:tcPr>
            <w:tcW w:w="1384"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B17</w:t>
            </w:r>
          </w:p>
        </w:tc>
        <w:tc>
          <w:tcPr>
            <w:tcW w:w="7796" w:type="dxa"/>
            <w:tcBorders>
              <w:top w:val="single" w:sz="4" w:space="0" w:color="auto"/>
              <w:left w:val="single" w:sz="4" w:space="0" w:color="auto"/>
              <w:bottom w:val="single" w:sz="4" w:space="0" w:color="auto"/>
              <w:right w:val="single" w:sz="4" w:space="0" w:color="auto"/>
            </w:tcBorders>
            <w:hideMark/>
          </w:tcPr>
          <w:p w:rsidR="007240D5" w:rsidRPr="009016B5" w:rsidRDefault="007240D5" w:rsidP="008A2B71">
            <w:pPr>
              <w:jc w:val="both"/>
              <w:rPr>
                <w:rFonts w:cs="Arial"/>
              </w:rPr>
            </w:pPr>
            <w:r w:rsidRPr="009016B5">
              <w:rPr>
                <w:rFonts w:cs="Arial"/>
              </w:rPr>
              <w:t xml:space="preserve">Total (en Tonne) des déchets de </w:t>
            </w:r>
            <w:r w:rsidRPr="009016B5">
              <w:rPr>
                <w:rFonts w:cs="Arial"/>
                <w:b/>
              </w:rPr>
              <w:t xml:space="preserve">verre plat </w:t>
            </w:r>
            <w:r w:rsidRPr="009016B5">
              <w:rPr>
                <w:rFonts w:cs="Arial"/>
              </w:rPr>
              <w:t>provenant des ménages et collectés sélectivement en vue de leur recyclage</w:t>
            </w:r>
          </w:p>
        </w:tc>
      </w:tr>
      <w:tr w:rsidR="007240D5" w:rsidRPr="009016B5" w:rsidTr="008A2B71">
        <w:tc>
          <w:tcPr>
            <w:tcW w:w="1384"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B18</w:t>
            </w:r>
          </w:p>
        </w:tc>
        <w:tc>
          <w:tcPr>
            <w:tcW w:w="7796"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 xml:space="preserve">Total (en Tonne) des </w:t>
            </w:r>
            <w:r w:rsidRPr="009016B5">
              <w:rPr>
                <w:rFonts w:cs="Arial"/>
                <w:b/>
              </w:rPr>
              <w:t>déchets d’encombrants</w:t>
            </w:r>
            <w:r w:rsidRPr="009016B5">
              <w:rPr>
                <w:rFonts w:cs="Arial"/>
              </w:rPr>
              <w:t xml:space="preserve"> provenant des ménages et collectés sélectivement en vue du réemploi et du recyclage</w:t>
            </w:r>
          </w:p>
        </w:tc>
      </w:tr>
      <w:tr w:rsidR="007240D5" w:rsidRPr="009016B5" w:rsidTr="008A2B71">
        <w:tc>
          <w:tcPr>
            <w:tcW w:w="1384"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B19</w:t>
            </w:r>
          </w:p>
        </w:tc>
        <w:tc>
          <w:tcPr>
            <w:tcW w:w="7796"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 xml:space="preserve">Total (en Tonne) des </w:t>
            </w:r>
            <w:r w:rsidRPr="009016B5">
              <w:rPr>
                <w:rFonts w:cs="Arial"/>
                <w:b/>
              </w:rPr>
              <w:t>déchets inertes</w:t>
            </w:r>
            <w:r w:rsidRPr="009016B5">
              <w:rPr>
                <w:rFonts w:cs="Arial"/>
              </w:rPr>
              <w:t xml:space="preserve"> provenant des ménages et collectés sélectivement en vue de leur recyclage </w:t>
            </w:r>
          </w:p>
        </w:tc>
      </w:tr>
      <w:tr w:rsidR="007240D5" w:rsidRPr="009016B5" w:rsidTr="008A2B71">
        <w:tc>
          <w:tcPr>
            <w:tcW w:w="1384"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B20</w:t>
            </w:r>
          </w:p>
        </w:tc>
        <w:tc>
          <w:tcPr>
            <w:tcW w:w="7796"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 xml:space="preserve">Total (en Tonne) des </w:t>
            </w:r>
            <w:r w:rsidRPr="009016B5">
              <w:rPr>
                <w:rFonts w:cs="Arial"/>
                <w:b/>
              </w:rPr>
              <w:t>déchets de plâtres/gyproc</w:t>
            </w:r>
            <w:r w:rsidRPr="009016B5">
              <w:rPr>
                <w:rFonts w:cs="Arial"/>
              </w:rPr>
              <w:t xml:space="preserve"> provenant des ménages et collectés sélectivement en vue de leur recyclage </w:t>
            </w:r>
          </w:p>
        </w:tc>
      </w:tr>
      <w:tr w:rsidR="007240D5" w:rsidRPr="009016B5" w:rsidTr="008A2B71">
        <w:tc>
          <w:tcPr>
            <w:tcW w:w="1384"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B21</w:t>
            </w:r>
          </w:p>
        </w:tc>
        <w:tc>
          <w:tcPr>
            <w:tcW w:w="7796"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 xml:space="preserve">Total (en Tonne) des </w:t>
            </w:r>
            <w:r w:rsidRPr="009016B5">
              <w:rPr>
                <w:rFonts w:cs="Arial"/>
                <w:b/>
              </w:rPr>
              <w:t>déchets de céramique/porcelaine</w:t>
            </w:r>
            <w:r w:rsidRPr="009016B5">
              <w:rPr>
                <w:rFonts w:cs="Arial"/>
              </w:rPr>
              <w:t xml:space="preserve"> provenant des ménages et collectés sélectivement en vue de leur recyclage </w:t>
            </w:r>
          </w:p>
        </w:tc>
      </w:tr>
      <w:tr w:rsidR="007240D5" w:rsidRPr="009016B5" w:rsidTr="008A2B71">
        <w:tc>
          <w:tcPr>
            <w:tcW w:w="1384"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 xml:space="preserve">B22 </w:t>
            </w:r>
          </w:p>
        </w:tc>
        <w:tc>
          <w:tcPr>
            <w:tcW w:w="7796"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 xml:space="preserve">Total (en Tonne) des </w:t>
            </w:r>
            <w:r w:rsidRPr="009016B5">
              <w:rPr>
                <w:rFonts w:cs="Arial"/>
                <w:b/>
              </w:rPr>
              <w:t xml:space="preserve">autres déchets </w:t>
            </w:r>
            <w:r w:rsidRPr="009016B5">
              <w:rPr>
                <w:rFonts w:cs="Arial"/>
              </w:rPr>
              <w:t>provenant des ménages et collectés sélectivement en vue de leur réemploi et recyclage</w:t>
            </w:r>
          </w:p>
        </w:tc>
      </w:tr>
      <w:tr w:rsidR="007240D5" w:rsidRPr="009016B5" w:rsidTr="008A2B71">
        <w:tc>
          <w:tcPr>
            <w:tcW w:w="1384"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B</w:t>
            </w:r>
          </w:p>
        </w:tc>
        <w:tc>
          <w:tcPr>
            <w:tcW w:w="7796"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 xml:space="preserve">Total (en Tonnes) des déchets ménagers collectés* sélectivement par l’Agence, calculé comme suit : </w:t>
            </w:r>
          </w:p>
          <w:p w:rsidR="007240D5" w:rsidRPr="009016B5" w:rsidRDefault="007240D5" w:rsidP="008A2B71">
            <w:pPr>
              <w:jc w:val="both"/>
              <w:rPr>
                <w:rFonts w:cs="Arial"/>
              </w:rPr>
            </w:pPr>
            <w:r w:rsidRPr="009016B5">
              <w:rPr>
                <w:rFonts w:cs="Arial"/>
              </w:rPr>
              <w:t>B= somme de B1 à B22</w:t>
            </w:r>
          </w:p>
        </w:tc>
      </w:tr>
      <w:tr w:rsidR="007240D5" w:rsidRPr="009016B5" w:rsidTr="008A2B71">
        <w:tc>
          <w:tcPr>
            <w:tcW w:w="1384"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B23*</w:t>
            </w:r>
          </w:p>
        </w:tc>
        <w:tc>
          <w:tcPr>
            <w:tcW w:w="7796" w:type="dxa"/>
            <w:tcBorders>
              <w:top w:val="single" w:sz="4" w:space="0" w:color="auto"/>
              <w:left w:val="single" w:sz="4" w:space="0" w:color="auto"/>
              <w:bottom w:val="single" w:sz="4" w:space="0" w:color="auto"/>
              <w:right w:val="single" w:sz="4" w:space="0" w:color="auto"/>
            </w:tcBorders>
            <w:hideMark/>
          </w:tcPr>
          <w:p w:rsidR="007240D5" w:rsidRPr="009016B5" w:rsidRDefault="007240D5" w:rsidP="008A2B71">
            <w:pPr>
              <w:jc w:val="both"/>
              <w:rPr>
                <w:rFonts w:cs="Arial"/>
              </w:rPr>
            </w:pPr>
            <w:r w:rsidRPr="009016B5">
              <w:rPr>
                <w:rFonts w:cs="Arial"/>
              </w:rPr>
              <w:t xml:space="preserve">Total (en Tonne) des </w:t>
            </w:r>
            <w:r w:rsidRPr="009016B5">
              <w:rPr>
                <w:rFonts w:cs="Arial"/>
                <w:b/>
              </w:rPr>
              <w:t>piles et accumulateurs portables</w:t>
            </w:r>
            <w:r w:rsidRPr="009016B5">
              <w:rPr>
                <w:rFonts w:cs="Arial"/>
              </w:rPr>
              <w:t xml:space="preserve"> provenant des ménages et collectés sélectivement en vue de leur recyclage</w:t>
            </w:r>
          </w:p>
        </w:tc>
      </w:tr>
      <w:tr w:rsidR="007240D5" w:rsidRPr="009016B5" w:rsidTr="008A2B71">
        <w:tc>
          <w:tcPr>
            <w:tcW w:w="1384"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B24*</w:t>
            </w:r>
          </w:p>
        </w:tc>
        <w:tc>
          <w:tcPr>
            <w:tcW w:w="7796" w:type="dxa"/>
            <w:tcBorders>
              <w:top w:val="single" w:sz="4" w:space="0" w:color="auto"/>
              <w:left w:val="single" w:sz="4" w:space="0" w:color="auto"/>
              <w:bottom w:val="single" w:sz="4" w:space="0" w:color="auto"/>
              <w:right w:val="single" w:sz="4" w:space="0" w:color="auto"/>
            </w:tcBorders>
            <w:hideMark/>
          </w:tcPr>
          <w:p w:rsidR="007240D5" w:rsidRPr="009016B5" w:rsidRDefault="007240D5" w:rsidP="008A2B71">
            <w:pPr>
              <w:jc w:val="both"/>
              <w:rPr>
                <w:rFonts w:cs="Arial"/>
              </w:rPr>
            </w:pPr>
            <w:r w:rsidRPr="009016B5">
              <w:rPr>
                <w:rFonts w:cs="Arial"/>
              </w:rPr>
              <w:t>Total  (en Tonne)  de médicaments périmés provenant des ménages et collectés sélectivement</w:t>
            </w:r>
          </w:p>
        </w:tc>
      </w:tr>
      <w:tr w:rsidR="007240D5" w:rsidRPr="009016B5" w:rsidTr="008A2B71">
        <w:tc>
          <w:tcPr>
            <w:tcW w:w="1384"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B25*</w:t>
            </w:r>
          </w:p>
        </w:tc>
        <w:tc>
          <w:tcPr>
            <w:tcW w:w="7796" w:type="dxa"/>
            <w:tcBorders>
              <w:top w:val="single" w:sz="4" w:space="0" w:color="auto"/>
              <w:left w:val="single" w:sz="4" w:space="0" w:color="auto"/>
              <w:bottom w:val="single" w:sz="4" w:space="0" w:color="auto"/>
              <w:right w:val="single" w:sz="4" w:space="0" w:color="auto"/>
            </w:tcBorders>
            <w:hideMark/>
          </w:tcPr>
          <w:p w:rsidR="007240D5" w:rsidRPr="009016B5" w:rsidRDefault="007240D5" w:rsidP="008A2B71">
            <w:pPr>
              <w:jc w:val="both"/>
              <w:rPr>
                <w:rFonts w:cs="Arial"/>
              </w:rPr>
            </w:pPr>
            <w:r w:rsidRPr="009016B5">
              <w:rPr>
                <w:rFonts w:cs="Arial"/>
              </w:rPr>
              <w:t xml:space="preserve">Total (en Tonne) des </w:t>
            </w:r>
            <w:r w:rsidRPr="009016B5">
              <w:rPr>
                <w:rFonts w:cs="Arial"/>
                <w:b/>
              </w:rPr>
              <w:t>pneus de la catégorie « tourisme »</w:t>
            </w:r>
            <w:r w:rsidRPr="009016B5">
              <w:rPr>
                <w:rFonts w:cs="Arial"/>
              </w:rPr>
              <w:t xml:space="preserve"> provenant des ménages et collectés sélectivement en vue de leur recyclage</w:t>
            </w:r>
          </w:p>
        </w:tc>
      </w:tr>
      <w:tr w:rsidR="007240D5" w:rsidRPr="009016B5" w:rsidTr="008A2B71">
        <w:tc>
          <w:tcPr>
            <w:tcW w:w="1384"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B26*</w:t>
            </w:r>
          </w:p>
        </w:tc>
        <w:tc>
          <w:tcPr>
            <w:tcW w:w="7796" w:type="dxa"/>
            <w:tcBorders>
              <w:top w:val="single" w:sz="4" w:space="0" w:color="auto"/>
              <w:left w:val="single" w:sz="4" w:space="0" w:color="auto"/>
              <w:bottom w:val="single" w:sz="4" w:space="0" w:color="auto"/>
              <w:right w:val="single" w:sz="4" w:space="0" w:color="auto"/>
            </w:tcBorders>
            <w:hideMark/>
          </w:tcPr>
          <w:p w:rsidR="007240D5" w:rsidRPr="009016B5" w:rsidRDefault="007240D5" w:rsidP="008A2B71">
            <w:pPr>
              <w:jc w:val="both"/>
              <w:rPr>
                <w:rFonts w:cs="Arial"/>
              </w:rPr>
            </w:pPr>
            <w:r w:rsidRPr="009016B5">
              <w:rPr>
                <w:rFonts w:cs="Arial"/>
              </w:rPr>
              <w:t xml:space="preserve">Total (en Tonne) des </w:t>
            </w:r>
            <w:r w:rsidRPr="009016B5">
              <w:rPr>
                <w:rFonts w:cs="Arial"/>
                <w:b/>
              </w:rPr>
              <w:t xml:space="preserve">graisses et huiles alimentaires </w:t>
            </w:r>
            <w:r w:rsidRPr="009016B5">
              <w:rPr>
                <w:rFonts w:cs="Arial"/>
              </w:rPr>
              <w:t xml:space="preserve">provenant des ménages et collectés sélectivement en vue de leur recyclage </w:t>
            </w:r>
          </w:p>
        </w:tc>
      </w:tr>
      <w:tr w:rsidR="007240D5" w:rsidRPr="009016B5" w:rsidTr="008A2B71">
        <w:tc>
          <w:tcPr>
            <w:tcW w:w="1384"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B27*</w:t>
            </w:r>
          </w:p>
        </w:tc>
        <w:tc>
          <w:tcPr>
            <w:tcW w:w="7796" w:type="dxa"/>
            <w:tcBorders>
              <w:top w:val="single" w:sz="4" w:space="0" w:color="auto"/>
              <w:left w:val="single" w:sz="4" w:space="0" w:color="auto"/>
              <w:bottom w:val="single" w:sz="4" w:space="0" w:color="auto"/>
              <w:right w:val="single" w:sz="4" w:space="0" w:color="auto"/>
            </w:tcBorders>
            <w:hideMark/>
          </w:tcPr>
          <w:p w:rsidR="007240D5" w:rsidRPr="009016B5" w:rsidRDefault="007240D5" w:rsidP="008A2B71">
            <w:pPr>
              <w:jc w:val="both"/>
              <w:rPr>
                <w:rFonts w:cs="Arial"/>
              </w:rPr>
            </w:pPr>
            <w:r w:rsidRPr="009016B5">
              <w:rPr>
                <w:rFonts w:cs="Arial"/>
              </w:rPr>
              <w:t xml:space="preserve">Total (en Tonne) des </w:t>
            </w:r>
            <w:r w:rsidRPr="009016B5">
              <w:rPr>
                <w:rFonts w:cs="Arial"/>
                <w:b/>
              </w:rPr>
              <w:t xml:space="preserve">déchets électriques et électroniques </w:t>
            </w:r>
            <w:r w:rsidRPr="009016B5">
              <w:rPr>
                <w:rFonts w:cs="Arial"/>
              </w:rPr>
              <w:t>provenant des ménages et collectés sélectivement en vue de leur recyclage</w:t>
            </w:r>
          </w:p>
        </w:tc>
      </w:tr>
      <w:tr w:rsidR="007240D5" w:rsidRPr="009016B5" w:rsidTr="008A2B71">
        <w:tc>
          <w:tcPr>
            <w:tcW w:w="1384"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B28*</w:t>
            </w:r>
          </w:p>
        </w:tc>
        <w:tc>
          <w:tcPr>
            <w:tcW w:w="7796"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 xml:space="preserve">Total (en Tonne) des </w:t>
            </w:r>
            <w:r w:rsidRPr="009016B5">
              <w:rPr>
                <w:rFonts w:cs="Arial"/>
                <w:b/>
              </w:rPr>
              <w:t xml:space="preserve">déchets d’huiles minérales </w:t>
            </w:r>
            <w:r w:rsidRPr="009016B5">
              <w:rPr>
                <w:rFonts w:cs="Arial"/>
              </w:rPr>
              <w:t>provenant des ménages et collectés sélectivement en vue de leur recyclage.</w:t>
            </w:r>
          </w:p>
        </w:tc>
      </w:tr>
    </w:tbl>
    <w:p w:rsidR="007240D5" w:rsidRPr="009016B5" w:rsidRDefault="007240D5" w:rsidP="007240D5">
      <w:pPr>
        <w:spacing w:before="120"/>
        <w:jc w:val="both"/>
        <w:rPr>
          <w:rFonts w:cs="Arial"/>
        </w:rPr>
      </w:pPr>
      <w:r w:rsidRPr="009016B5">
        <w:rPr>
          <w:rFonts w:cs="Arial"/>
        </w:rPr>
        <w:t xml:space="preserve">*Les déchets ménagers collectés sélectivement par l’Agence et qui entrent dans les flux de déchets qui font l’objet d’une Responsabilité Elargie du Producteur ((Référence B23 à B28) sont comptabilisés dans le cadre E « Déchets ménagers collectés par les détaillants ». </w:t>
      </w:r>
    </w:p>
    <w:p w:rsidR="007240D5" w:rsidRPr="009016B5" w:rsidRDefault="007240D5" w:rsidP="007240D5">
      <w:pPr>
        <w:jc w:val="both"/>
        <w:rPr>
          <w:rFonts w:cs="Arial"/>
        </w:rPr>
      </w:pPr>
      <w:r w:rsidRPr="009016B5">
        <w:rPr>
          <w:rFonts w:cs="Arial"/>
        </w:rPr>
        <w:t>Les déchets ménagers collectés sélectivement par l’Agence et qui sont remis à une entreprise à finalité sociale sont comptabilisés dans le cadre C « Déchets ménagers collectés par les entreprises à finalité sociale en vue du réemploi et du recyclage».</w:t>
      </w:r>
    </w:p>
    <w:p w:rsidR="007240D5" w:rsidRPr="009016B5" w:rsidRDefault="007240D5" w:rsidP="007240D5">
      <w:pPr>
        <w:jc w:val="both"/>
        <w:rPr>
          <w:rFonts w:cs="Arial"/>
        </w:rPr>
      </w:pPr>
      <w:r w:rsidRPr="009016B5">
        <w:rPr>
          <w:rFonts w:cs="Arial"/>
        </w:rPr>
        <w:t>Chaque flux de déchets mentionnés dans le tableau doit faire l’objet d’un rapport détaillé concernant la période considérée présentant:</w:t>
      </w:r>
    </w:p>
    <w:p w:rsidR="007240D5" w:rsidRPr="009016B5" w:rsidRDefault="007240D5" w:rsidP="007240D5">
      <w:pPr>
        <w:pStyle w:val="Paragraphedeliste"/>
        <w:numPr>
          <w:ilvl w:val="0"/>
          <w:numId w:val="10"/>
        </w:numPr>
        <w:jc w:val="both"/>
        <w:rPr>
          <w:rFonts w:asciiTheme="minorHAnsi" w:hAnsiTheme="minorHAnsi" w:cs="Arial"/>
        </w:rPr>
      </w:pPr>
      <w:r w:rsidRPr="009016B5">
        <w:rPr>
          <w:rFonts w:asciiTheme="minorHAnsi" w:hAnsiTheme="minorHAnsi" w:cs="Arial"/>
        </w:rPr>
        <w:t>le ou les dispositifs de collecte mis en œuvre ;</w:t>
      </w:r>
    </w:p>
    <w:p w:rsidR="007240D5" w:rsidRPr="009016B5" w:rsidRDefault="007240D5" w:rsidP="007240D5">
      <w:pPr>
        <w:pStyle w:val="Paragraphedeliste"/>
        <w:numPr>
          <w:ilvl w:val="0"/>
          <w:numId w:val="10"/>
        </w:numPr>
        <w:jc w:val="both"/>
        <w:rPr>
          <w:rFonts w:asciiTheme="minorHAnsi" w:hAnsiTheme="minorHAnsi" w:cs="Arial"/>
        </w:rPr>
      </w:pPr>
      <w:r w:rsidRPr="009016B5">
        <w:rPr>
          <w:rFonts w:asciiTheme="minorHAnsi" w:hAnsiTheme="minorHAnsi" w:cs="Arial"/>
        </w:rPr>
        <w:t>le mode de comptabilisation (pesée, méthode d’estimation du poids, …) du poids des déchets et la marge d’incertitude;</w:t>
      </w:r>
    </w:p>
    <w:p w:rsidR="007240D5" w:rsidRPr="009016B5" w:rsidRDefault="007240D5" w:rsidP="007240D5">
      <w:pPr>
        <w:pStyle w:val="Paragraphedeliste"/>
        <w:numPr>
          <w:ilvl w:val="0"/>
          <w:numId w:val="10"/>
        </w:numPr>
        <w:jc w:val="both"/>
        <w:rPr>
          <w:rFonts w:asciiTheme="minorHAnsi" w:hAnsiTheme="minorHAnsi" w:cs="Arial"/>
        </w:rPr>
      </w:pPr>
      <w:r w:rsidRPr="009016B5">
        <w:rPr>
          <w:rFonts w:asciiTheme="minorHAnsi" w:hAnsiTheme="minorHAnsi" w:cs="Arial"/>
        </w:rPr>
        <w:t>la méthode de détermination de la part des déchets non ménagers lorsque le flux de déchets considéré est collecté de manière telle que les déchets d’origine ménagère sont mélangés avec des déchets d’autres producteurs de déchets, ainsi que le moment du dernière exercice de comptabilisation de la part ménagère ;</w:t>
      </w:r>
    </w:p>
    <w:p w:rsidR="007240D5" w:rsidRPr="009016B5" w:rsidRDefault="007240D5" w:rsidP="007240D5">
      <w:pPr>
        <w:pStyle w:val="Paragraphedeliste"/>
        <w:numPr>
          <w:ilvl w:val="0"/>
          <w:numId w:val="10"/>
        </w:numPr>
        <w:jc w:val="both"/>
        <w:rPr>
          <w:rFonts w:asciiTheme="minorHAnsi" w:hAnsiTheme="minorHAnsi" w:cs="Arial"/>
        </w:rPr>
      </w:pPr>
      <w:r w:rsidRPr="009016B5">
        <w:rPr>
          <w:rFonts w:asciiTheme="minorHAnsi" w:hAnsiTheme="minorHAnsi" w:cs="Arial"/>
        </w:rPr>
        <w:t>la filière de traitement suivi</w:t>
      </w:r>
      <w:r>
        <w:rPr>
          <w:rFonts w:asciiTheme="minorHAnsi" w:hAnsiTheme="minorHAnsi" w:cs="Arial"/>
        </w:rPr>
        <w:t>e</w:t>
      </w:r>
      <w:r w:rsidRPr="009016B5">
        <w:rPr>
          <w:rFonts w:asciiTheme="minorHAnsi" w:hAnsiTheme="minorHAnsi" w:cs="Arial"/>
        </w:rPr>
        <w:t xml:space="preserve"> par le flux avec identification de ou des unités de traitement; </w:t>
      </w:r>
    </w:p>
    <w:p w:rsidR="007240D5" w:rsidRPr="009016B5" w:rsidRDefault="007240D5" w:rsidP="007240D5">
      <w:pPr>
        <w:pStyle w:val="Paragraphedeliste"/>
        <w:numPr>
          <w:ilvl w:val="0"/>
          <w:numId w:val="10"/>
        </w:numPr>
        <w:jc w:val="both"/>
        <w:rPr>
          <w:rFonts w:asciiTheme="minorHAnsi" w:hAnsiTheme="minorHAnsi" w:cs="Arial"/>
        </w:rPr>
      </w:pPr>
      <w:r w:rsidRPr="009016B5">
        <w:rPr>
          <w:rFonts w:asciiTheme="minorHAnsi" w:hAnsiTheme="minorHAnsi" w:cs="Arial"/>
        </w:rPr>
        <w:lastRenderedPageBreak/>
        <w:t>temporalité sur laquelle le tonnage a été fourni si différents de la période du 1</w:t>
      </w:r>
      <w:r w:rsidRPr="009016B5">
        <w:rPr>
          <w:rFonts w:asciiTheme="minorHAnsi" w:hAnsiTheme="minorHAnsi" w:cs="Arial"/>
          <w:vertAlign w:val="superscript"/>
        </w:rPr>
        <w:t>er</w:t>
      </w:r>
      <w:r w:rsidRPr="009016B5">
        <w:rPr>
          <w:rFonts w:asciiTheme="minorHAnsi" w:hAnsiTheme="minorHAnsi" w:cs="Arial"/>
        </w:rPr>
        <w:t xml:space="preserve"> janvier au 31 décembre de l’exercice fiscale considérée.</w:t>
      </w:r>
    </w:p>
    <w:p w:rsidR="007240D5" w:rsidRPr="009016B5" w:rsidRDefault="007240D5" w:rsidP="007240D5">
      <w:pPr>
        <w:jc w:val="both"/>
        <w:rPr>
          <w:rFonts w:cs="Arial"/>
        </w:rPr>
      </w:pPr>
      <w:r w:rsidRPr="009016B5">
        <w:rPr>
          <w:rFonts w:cs="Arial"/>
        </w:rPr>
        <w:t xml:space="preserve">Pour les déchets comptabilisés dans la case « autres déchets collectés sélectivement B22 », chaque flux de déchets fait l’objet d’un rapport détaillé. Cette case  permet de prendre en compte de nouveaux flux sélectifs qui peuvent se développer à l’avenir et de garder la flexibilité nécessaire pour refléter correctement la situation réelle. </w:t>
      </w:r>
    </w:p>
    <w:p w:rsidR="007240D5" w:rsidRPr="009016B5" w:rsidRDefault="007240D5" w:rsidP="007240D5">
      <w:pPr>
        <w:jc w:val="both"/>
        <w:rPr>
          <w:rFonts w:cs="Arial"/>
        </w:rPr>
      </w:pPr>
      <w:r w:rsidRPr="009016B5">
        <w:rPr>
          <w:rFonts w:cs="Arial"/>
        </w:rPr>
        <w:t>Tous les deux ans, l’Agence a recours à l’Institut Bruxellois d’Analyse et de Statistique (IBSA) pour établir une analyse sur la qualité du présent rapport. Ce rapport est alors joint à la prochaine déclaration.</w:t>
      </w:r>
    </w:p>
    <w:p w:rsidR="007240D5" w:rsidRPr="009016B5" w:rsidRDefault="007240D5" w:rsidP="007240D5">
      <w:pPr>
        <w:jc w:val="both"/>
        <w:rPr>
          <w:rFonts w:cs="Arial"/>
          <w:u w:val="single"/>
        </w:rPr>
      </w:pPr>
      <w:r w:rsidRPr="009016B5">
        <w:rPr>
          <w:rFonts w:cs="Arial"/>
          <w:u w:val="single"/>
        </w:rPr>
        <w:t>Les déchets ménagers collectés sélectivement par les « entreprises à finalité sociale» tel que défini à l’article 1.1, §1</w:t>
      </w:r>
      <w:r w:rsidRPr="009016B5">
        <w:rPr>
          <w:rFonts w:cs="Arial"/>
          <w:u w:val="single"/>
          <w:vertAlign w:val="superscript"/>
        </w:rPr>
        <w:t>er</w:t>
      </w:r>
      <w:r w:rsidRPr="009016B5">
        <w:rPr>
          <w:rFonts w:cs="Arial"/>
          <w:u w:val="single"/>
        </w:rPr>
        <w:t>,  21° de l’arrêté du 1</w:t>
      </w:r>
      <w:r w:rsidRPr="009016B5">
        <w:rPr>
          <w:rFonts w:cs="Arial"/>
          <w:u w:val="single"/>
          <w:vertAlign w:val="superscript"/>
        </w:rPr>
        <w:t>er</w:t>
      </w:r>
      <w:r w:rsidRPr="009016B5">
        <w:rPr>
          <w:rFonts w:cs="Arial"/>
          <w:u w:val="single"/>
        </w:rPr>
        <w:t xml:space="preserve"> décembre 2016 relatif à la gestion des déchets</w:t>
      </w:r>
    </w:p>
    <w:p w:rsidR="007240D5" w:rsidRPr="009016B5" w:rsidRDefault="007240D5" w:rsidP="007240D5">
      <w:pPr>
        <w:jc w:val="both"/>
        <w:rPr>
          <w:rFonts w:cs="Arial"/>
        </w:rPr>
      </w:pPr>
      <w:r w:rsidRPr="009016B5">
        <w:rPr>
          <w:rFonts w:cs="Arial"/>
        </w:rPr>
        <w:t xml:space="preserve">Ces informations sont acquises par </w:t>
      </w:r>
      <w:r>
        <w:rPr>
          <w:rFonts w:cs="Arial"/>
        </w:rPr>
        <w:t>Bruxelles Environnement</w:t>
      </w:r>
      <w:r w:rsidRPr="009016B5">
        <w:rPr>
          <w:rFonts w:cs="Arial"/>
        </w:rPr>
        <w:t xml:space="preserve"> dans le cadre de l’agrément et du subventionnement des entreprises à finalité sociale. </w:t>
      </w:r>
    </w:p>
    <w:tbl>
      <w:tblPr>
        <w:tblStyle w:val="Grilledutableau"/>
        <w:tblW w:w="9180" w:type="dxa"/>
        <w:tblInd w:w="0" w:type="dxa"/>
        <w:tblLook w:val="04A0" w:firstRow="1" w:lastRow="0" w:firstColumn="1" w:lastColumn="0" w:noHBand="0" w:noVBand="1"/>
      </w:tblPr>
      <w:tblGrid>
        <w:gridCol w:w="1384"/>
        <w:gridCol w:w="7796"/>
      </w:tblGrid>
      <w:tr w:rsidR="007240D5" w:rsidRPr="009016B5" w:rsidTr="008A2B71">
        <w:trPr>
          <w:trHeight w:val="568"/>
        </w:trPr>
        <w:tc>
          <w:tcPr>
            <w:tcW w:w="1384"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b/>
              </w:rPr>
            </w:pPr>
            <w:r w:rsidRPr="009016B5">
              <w:rPr>
                <w:rFonts w:cs="Arial"/>
                <w:b/>
              </w:rPr>
              <w:t>Référence</w:t>
            </w:r>
          </w:p>
        </w:tc>
        <w:tc>
          <w:tcPr>
            <w:tcW w:w="7796" w:type="dxa"/>
            <w:tcBorders>
              <w:top w:val="single" w:sz="4" w:space="0" w:color="auto"/>
              <w:left w:val="single" w:sz="4" w:space="0" w:color="auto"/>
              <w:bottom w:val="single" w:sz="4" w:space="0" w:color="auto"/>
              <w:right w:val="single" w:sz="4" w:space="0" w:color="auto"/>
            </w:tcBorders>
            <w:hideMark/>
          </w:tcPr>
          <w:p w:rsidR="007240D5" w:rsidRPr="009016B5" w:rsidRDefault="007240D5" w:rsidP="008A2B71">
            <w:pPr>
              <w:jc w:val="both"/>
              <w:rPr>
                <w:rFonts w:cs="Arial"/>
                <w:b/>
              </w:rPr>
            </w:pPr>
            <w:r w:rsidRPr="009016B5">
              <w:rPr>
                <w:rFonts w:cs="Arial"/>
                <w:b/>
              </w:rPr>
              <w:t>Déchets collectés sélectivement par les entreprises à finalité sociale en vue du réemploi et du recyclage</w:t>
            </w:r>
          </w:p>
        </w:tc>
      </w:tr>
      <w:tr w:rsidR="007240D5" w:rsidRPr="009016B5" w:rsidTr="008A2B71">
        <w:tc>
          <w:tcPr>
            <w:tcW w:w="1384"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C1.</w:t>
            </w:r>
          </w:p>
        </w:tc>
        <w:tc>
          <w:tcPr>
            <w:tcW w:w="7796"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 xml:space="preserve">Total (en Tonne) des </w:t>
            </w:r>
            <w:r w:rsidRPr="009016B5">
              <w:rPr>
                <w:rFonts w:cs="Arial"/>
                <w:b/>
              </w:rPr>
              <w:t>déchets électriques et électroniques</w:t>
            </w:r>
            <w:r w:rsidRPr="009016B5">
              <w:rPr>
                <w:rFonts w:cs="Arial"/>
              </w:rPr>
              <w:t xml:space="preserve"> collectés sélectivement en vue du réemploi et du recyclage</w:t>
            </w:r>
          </w:p>
        </w:tc>
      </w:tr>
      <w:tr w:rsidR="007240D5" w:rsidRPr="009016B5" w:rsidTr="008A2B71">
        <w:tc>
          <w:tcPr>
            <w:tcW w:w="1384"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C2.</w:t>
            </w:r>
          </w:p>
        </w:tc>
        <w:tc>
          <w:tcPr>
            <w:tcW w:w="7796" w:type="dxa"/>
            <w:tcBorders>
              <w:top w:val="single" w:sz="4" w:space="0" w:color="auto"/>
              <w:left w:val="single" w:sz="4" w:space="0" w:color="auto"/>
              <w:bottom w:val="single" w:sz="4" w:space="0" w:color="auto"/>
              <w:right w:val="single" w:sz="4" w:space="0" w:color="auto"/>
            </w:tcBorders>
            <w:hideMark/>
          </w:tcPr>
          <w:p w:rsidR="007240D5" w:rsidRPr="009016B5" w:rsidRDefault="007240D5" w:rsidP="008A2B71">
            <w:pPr>
              <w:jc w:val="both"/>
              <w:rPr>
                <w:rFonts w:cs="Arial"/>
              </w:rPr>
            </w:pPr>
            <w:r w:rsidRPr="009016B5">
              <w:rPr>
                <w:rFonts w:cs="Arial"/>
              </w:rPr>
              <w:t xml:space="preserve">Total (en Tonne) des </w:t>
            </w:r>
            <w:r w:rsidRPr="009016B5">
              <w:rPr>
                <w:rFonts w:cs="Arial"/>
                <w:b/>
              </w:rPr>
              <w:t>déchets textiles</w:t>
            </w:r>
            <w:r w:rsidRPr="009016B5">
              <w:rPr>
                <w:rFonts w:cs="Arial"/>
              </w:rPr>
              <w:t xml:space="preserve"> collectés sélectivement en vue du réemploi ou du recyclage</w:t>
            </w:r>
          </w:p>
        </w:tc>
      </w:tr>
      <w:tr w:rsidR="007240D5" w:rsidRPr="009016B5" w:rsidTr="008A2B71">
        <w:tc>
          <w:tcPr>
            <w:tcW w:w="1384"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C3.</w:t>
            </w:r>
          </w:p>
        </w:tc>
        <w:tc>
          <w:tcPr>
            <w:tcW w:w="7796" w:type="dxa"/>
            <w:tcBorders>
              <w:top w:val="single" w:sz="4" w:space="0" w:color="auto"/>
              <w:left w:val="single" w:sz="4" w:space="0" w:color="auto"/>
              <w:bottom w:val="single" w:sz="4" w:space="0" w:color="auto"/>
              <w:right w:val="single" w:sz="4" w:space="0" w:color="auto"/>
            </w:tcBorders>
            <w:hideMark/>
          </w:tcPr>
          <w:p w:rsidR="007240D5" w:rsidRPr="009016B5" w:rsidRDefault="007240D5" w:rsidP="008A2B71">
            <w:pPr>
              <w:jc w:val="both"/>
              <w:rPr>
                <w:rFonts w:cs="Arial"/>
              </w:rPr>
            </w:pPr>
            <w:r w:rsidRPr="009016B5">
              <w:rPr>
                <w:rFonts w:cs="Arial"/>
              </w:rPr>
              <w:t xml:space="preserve">Total (en Tonne) des </w:t>
            </w:r>
            <w:r w:rsidRPr="009016B5">
              <w:rPr>
                <w:rFonts w:cs="Arial"/>
                <w:b/>
              </w:rPr>
              <w:t>déchets d’encombrants</w:t>
            </w:r>
            <w:r w:rsidRPr="009016B5">
              <w:rPr>
                <w:rFonts w:cs="Arial"/>
              </w:rPr>
              <w:t xml:space="preserve"> collectés sélectivement en vue du réemploi ou du recyclage</w:t>
            </w:r>
          </w:p>
        </w:tc>
      </w:tr>
      <w:tr w:rsidR="007240D5" w:rsidRPr="009016B5" w:rsidTr="008A2B71">
        <w:trPr>
          <w:trHeight w:val="595"/>
        </w:trPr>
        <w:tc>
          <w:tcPr>
            <w:tcW w:w="1384"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C4.</w:t>
            </w:r>
          </w:p>
        </w:tc>
        <w:tc>
          <w:tcPr>
            <w:tcW w:w="7796" w:type="dxa"/>
            <w:tcBorders>
              <w:top w:val="single" w:sz="4" w:space="0" w:color="auto"/>
              <w:left w:val="single" w:sz="4" w:space="0" w:color="auto"/>
              <w:bottom w:val="single" w:sz="4" w:space="0" w:color="auto"/>
              <w:right w:val="single" w:sz="4" w:space="0" w:color="auto"/>
            </w:tcBorders>
            <w:hideMark/>
          </w:tcPr>
          <w:p w:rsidR="007240D5" w:rsidRPr="009016B5" w:rsidRDefault="007240D5" w:rsidP="008A2B71">
            <w:pPr>
              <w:jc w:val="both"/>
              <w:rPr>
                <w:rFonts w:cs="Arial"/>
              </w:rPr>
            </w:pPr>
            <w:r w:rsidRPr="009016B5">
              <w:rPr>
                <w:rFonts w:cs="Arial"/>
              </w:rPr>
              <w:t xml:space="preserve">Total (en Tonne) des </w:t>
            </w:r>
            <w:r w:rsidRPr="009016B5">
              <w:rPr>
                <w:rFonts w:cs="Arial"/>
                <w:b/>
              </w:rPr>
              <w:t>déchets de consommables informatiques</w:t>
            </w:r>
            <w:r w:rsidRPr="009016B5">
              <w:rPr>
                <w:rFonts w:cs="Arial"/>
              </w:rPr>
              <w:t xml:space="preserve"> tels que cartouches à jet d’encres et toners laser collectés sélectivement en vue du réemploi ou du recyclage </w:t>
            </w:r>
          </w:p>
        </w:tc>
      </w:tr>
      <w:tr w:rsidR="007240D5" w:rsidRPr="009016B5" w:rsidTr="008A2B71">
        <w:trPr>
          <w:trHeight w:val="595"/>
        </w:trPr>
        <w:tc>
          <w:tcPr>
            <w:tcW w:w="1384"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C5.</w:t>
            </w:r>
          </w:p>
        </w:tc>
        <w:tc>
          <w:tcPr>
            <w:tcW w:w="7796"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 xml:space="preserve">Total (en Tonne) des </w:t>
            </w:r>
            <w:r w:rsidRPr="009016B5">
              <w:rPr>
                <w:rFonts w:cs="Arial"/>
                <w:b/>
              </w:rPr>
              <w:t xml:space="preserve">autres déchets </w:t>
            </w:r>
            <w:r w:rsidRPr="009016B5">
              <w:rPr>
                <w:rFonts w:cs="Arial"/>
              </w:rPr>
              <w:t>provenant des ménages et collectés sélectivement en vue de leur réemploi et recyclage</w:t>
            </w:r>
          </w:p>
        </w:tc>
      </w:tr>
      <w:tr w:rsidR="007240D5" w:rsidRPr="009016B5" w:rsidTr="008A2B71">
        <w:trPr>
          <w:trHeight w:val="595"/>
        </w:trPr>
        <w:tc>
          <w:tcPr>
            <w:tcW w:w="1384"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C</w:t>
            </w:r>
          </w:p>
        </w:tc>
        <w:tc>
          <w:tcPr>
            <w:tcW w:w="7796"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Total(Tonne) des déchets ménagers collectés* sélectivement par les « entreprises à finalité sociale» tel que défini à l’article 1, 7°, calculé comme suit :</w:t>
            </w:r>
          </w:p>
          <w:p w:rsidR="007240D5" w:rsidRPr="009016B5" w:rsidRDefault="007240D5" w:rsidP="008A2B71">
            <w:pPr>
              <w:jc w:val="both"/>
              <w:rPr>
                <w:rFonts w:cs="Arial"/>
              </w:rPr>
            </w:pPr>
            <w:r w:rsidRPr="009016B5">
              <w:rPr>
                <w:rFonts w:cs="Arial"/>
              </w:rPr>
              <w:t>C= somme de C1 à C5</w:t>
            </w:r>
          </w:p>
        </w:tc>
      </w:tr>
    </w:tbl>
    <w:p w:rsidR="007240D5" w:rsidRPr="009016B5" w:rsidRDefault="007240D5" w:rsidP="007240D5">
      <w:pPr>
        <w:jc w:val="both"/>
        <w:rPr>
          <w:rFonts w:cs="Arial"/>
        </w:rPr>
      </w:pPr>
      <w:r w:rsidRPr="009016B5">
        <w:rPr>
          <w:rFonts w:cs="Arial"/>
        </w:rPr>
        <w:t>*Les autres déchets ménagers collectés sélectivement par les entreprises à finalité sociale et qui entrent dans les flux de déchets qui font l’objet d’une Responsabilité Elargie du Producteur sont comptabilisés dans le cadre E « Déchets ménagers collectés par les détaillants ».</w:t>
      </w:r>
    </w:p>
    <w:p w:rsidR="007240D5" w:rsidRPr="009016B5" w:rsidRDefault="007240D5" w:rsidP="007240D5">
      <w:pPr>
        <w:jc w:val="both"/>
        <w:rPr>
          <w:rFonts w:cs="Arial"/>
        </w:rPr>
      </w:pPr>
      <w:r w:rsidRPr="009016B5">
        <w:rPr>
          <w:rFonts w:cs="Arial"/>
        </w:rPr>
        <w:t xml:space="preserve">La case C5  permet de prendre en compte les nouveaux flux sélectifs qui peuvent se développer à l’avenir et de garder la flexibilité nécessaire pour refléter correctement la situation réelle.  </w:t>
      </w:r>
    </w:p>
    <w:p w:rsidR="007240D5" w:rsidRPr="009016B5" w:rsidRDefault="007240D5" w:rsidP="007240D5">
      <w:pPr>
        <w:jc w:val="both"/>
        <w:rPr>
          <w:rFonts w:cs="Arial"/>
          <w:u w:val="single"/>
        </w:rPr>
      </w:pPr>
      <w:r w:rsidRPr="009016B5">
        <w:rPr>
          <w:rFonts w:cs="Arial"/>
          <w:u w:val="single"/>
        </w:rPr>
        <w:t>Les déchets ménagers collectés sélectivement par les communes en vue de leur réemploi ou de leur recyclage et qui ne sont pas collectés par l’Agence</w:t>
      </w:r>
    </w:p>
    <w:p w:rsidR="007240D5" w:rsidRPr="009016B5" w:rsidRDefault="007240D5" w:rsidP="007240D5">
      <w:pPr>
        <w:jc w:val="both"/>
        <w:rPr>
          <w:rFonts w:cs="Arial"/>
        </w:rPr>
      </w:pPr>
      <w:r w:rsidRPr="009016B5">
        <w:rPr>
          <w:rFonts w:cs="Arial"/>
        </w:rPr>
        <w:t xml:space="preserve">Ces informations sont acquises par </w:t>
      </w:r>
      <w:r>
        <w:rPr>
          <w:rFonts w:cs="Arial"/>
        </w:rPr>
        <w:t>Bruxelles Environnement</w:t>
      </w:r>
      <w:r w:rsidRPr="009016B5">
        <w:rPr>
          <w:rFonts w:cs="Arial"/>
        </w:rPr>
        <w:t xml:space="preserve"> dans le cadre du rapportage prévu par l’article 1.8 de l’arrêté.</w:t>
      </w:r>
    </w:p>
    <w:tbl>
      <w:tblPr>
        <w:tblStyle w:val="Grilledutableau"/>
        <w:tblW w:w="9180" w:type="dxa"/>
        <w:tblInd w:w="0" w:type="dxa"/>
        <w:tblLook w:val="04A0" w:firstRow="1" w:lastRow="0" w:firstColumn="1" w:lastColumn="0" w:noHBand="0" w:noVBand="1"/>
      </w:tblPr>
      <w:tblGrid>
        <w:gridCol w:w="1377"/>
        <w:gridCol w:w="7803"/>
      </w:tblGrid>
      <w:tr w:rsidR="007240D5" w:rsidRPr="009016B5" w:rsidTr="008A2B71">
        <w:tc>
          <w:tcPr>
            <w:tcW w:w="1377"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p>
          <w:p w:rsidR="007240D5" w:rsidRPr="009016B5" w:rsidRDefault="007240D5" w:rsidP="008A2B71">
            <w:pPr>
              <w:jc w:val="both"/>
              <w:rPr>
                <w:rFonts w:cs="Arial"/>
                <w:b/>
              </w:rPr>
            </w:pPr>
            <w:r w:rsidRPr="009016B5">
              <w:rPr>
                <w:rFonts w:cs="Arial"/>
                <w:b/>
              </w:rPr>
              <w:t>Référence</w:t>
            </w:r>
          </w:p>
        </w:tc>
        <w:tc>
          <w:tcPr>
            <w:tcW w:w="7803" w:type="dxa"/>
            <w:tcBorders>
              <w:top w:val="single" w:sz="4" w:space="0" w:color="auto"/>
              <w:left w:val="single" w:sz="4" w:space="0" w:color="auto"/>
              <w:bottom w:val="single" w:sz="4" w:space="0" w:color="auto"/>
              <w:right w:val="single" w:sz="4" w:space="0" w:color="auto"/>
            </w:tcBorders>
            <w:hideMark/>
          </w:tcPr>
          <w:p w:rsidR="007240D5" w:rsidRPr="009016B5" w:rsidRDefault="007240D5" w:rsidP="008A2B71">
            <w:pPr>
              <w:jc w:val="both"/>
              <w:rPr>
                <w:rFonts w:cs="Arial"/>
                <w:b/>
              </w:rPr>
            </w:pPr>
            <w:r w:rsidRPr="009016B5">
              <w:rPr>
                <w:rFonts w:cs="Arial"/>
                <w:b/>
              </w:rPr>
              <w:t>Déchets collectés sélectivement par les communes en vue de leur réemploi ou de leur recyclage et non comptabilisés dans le cadre B</w:t>
            </w:r>
          </w:p>
        </w:tc>
      </w:tr>
      <w:tr w:rsidR="007240D5" w:rsidRPr="009016B5" w:rsidTr="008A2B71">
        <w:tc>
          <w:tcPr>
            <w:tcW w:w="1377"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lastRenderedPageBreak/>
              <w:t>D1.</w:t>
            </w:r>
          </w:p>
        </w:tc>
        <w:tc>
          <w:tcPr>
            <w:tcW w:w="7803" w:type="dxa"/>
            <w:tcBorders>
              <w:top w:val="single" w:sz="4" w:space="0" w:color="auto"/>
              <w:left w:val="single" w:sz="4" w:space="0" w:color="auto"/>
              <w:bottom w:val="single" w:sz="4" w:space="0" w:color="auto"/>
              <w:right w:val="single" w:sz="4" w:space="0" w:color="auto"/>
            </w:tcBorders>
            <w:hideMark/>
          </w:tcPr>
          <w:p w:rsidR="007240D5" w:rsidRPr="009016B5" w:rsidRDefault="007240D5" w:rsidP="008A2B71">
            <w:pPr>
              <w:jc w:val="both"/>
              <w:rPr>
                <w:rFonts w:cs="Arial"/>
              </w:rPr>
            </w:pPr>
            <w:r w:rsidRPr="009016B5">
              <w:rPr>
                <w:rFonts w:cs="Arial"/>
              </w:rPr>
              <w:t xml:space="preserve">Total (en Tonne) des </w:t>
            </w:r>
            <w:r w:rsidRPr="009016B5">
              <w:rPr>
                <w:rFonts w:cs="Arial"/>
                <w:b/>
              </w:rPr>
              <w:t>déchets d’encombrants</w:t>
            </w:r>
            <w:r w:rsidRPr="009016B5">
              <w:rPr>
                <w:rFonts w:cs="Arial"/>
              </w:rPr>
              <w:t xml:space="preserve"> provenant des ménages et collectés sélectivement en vue du réemploi et du recyclage </w:t>
            </w:r>
          </w:p>
        </w:tc>
      </w:tr>
      <w:tr w:rsidR="007240D5" w:rsidRPr="009016B5" w:rsidTr="008A2B71">
        <w:tc>
          <w:tcPr>
            <w:tcW w:w="1377"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D2</w:t>
            </w:r>
          </w:p>
        </w:tc>
        <w:tc>
          <w:tcPr>
            <w:tcW w:w="7803"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 xml:space="preserve">Total (en Tonne) des </w:t>
            </w:r>
            <w:r w:rsidRPr="009016B5">
              <w:rPr>
                <w:rFonts w:cs="Arial"/>
                <w:b/>
              </w:rPr>
              <w:t>déchets de construction</w:t>
            </w:r>
            <w:r w:rsidRPr="009016B5">
              <w:rPr>
                <w:rFonts w:cs="Arial"/>
              </w:rPr>
              <w:t xml:space="preserve"> provenant des ménages et collectés sélectivement en vue du réemploi et du recyclage </w:t>
            </w:r>
          </w:p>
        </w:tc>
      </w:tr>
      <w:tr w:rsidR="007240D5" w:rsidRPr="009016B5" w:rsidTr="008A2B71">
        <w:tc>
          <w:tcPr>
            <w:tcW w:w="1377"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D3</w:t>
            </w:r>
          </w:p>
        </w:tc>
        <w:tc>
          <w:tcPr>
            <w:tcW w:w="7803"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 xml:space="preserve">Total (en Tonne) des </w:t>
            </w:r>
            <w:r w:rsidRPr="009016B5">
              <w:rPr>
                <w:rFonts w:cs="Arial"/>
                <w:b/>
              </w:rPr>
              <w:t xml:space="preserve">déchets de papier et carton </w:t>
            </w:r>
            <w:r w:rsidRPr="009016B5">
              <w:rPr>
                <w:rFonts w:cs="Arial"/>
              </w:rPr>
              <w:t xml:space="preserve">provenant des ménages et collectés sélectivement en vue du réemploi et du recyclage </w:t>
            </w:r>
          </w:p>
        </w:tc>
      </w:tr>
      <w:tr w:rsidR="007240D5" w:rsidRPr="009016B5" w:rsidTr="008A2B71">
        <w:tc>
          <w:tcPr>
            <w:tcW w:w="1377"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D4</w:t>
            </w:r>
          </w:p>
        </w:tc>
        <w:tc>
          <w:tcPr>
            <w:tcW w:w="7803"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 xml:space="preserve">Total (en Tonne) des </w:t>
            </w:r>
            <w:r w:rsidRPr="009016B5">
              <w:rPr>
                <w:rFonts w:cs="Arial"/>
                <w:b/>
              </w:rPr>
              <w:t xml:space="preserve">déchets de plastique, métal et cartons à boissons </w:t>
            </w:r>
            <w:r w:rsidRPr="009016B5">
              <w:rPr>
                <w:rFonts w:cs="Arial"/>
              </w:rPr>
              <w:t xml:space="preserve">provenant des ménages et collectés sélectivement en vue du réemploi et du recyclage </w:t>
            </w:r>
          </w:p>
        </w:tc>
      </w:tr>
      <w:tr w:rsidR="007240D5" w:rsidRPr="009016B5" w:rsidTr="008A2B71">
        <w:tc>
          <w:tcPr>
            <w:tcW w:w="1377"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D5</w:t>
            </w:r>
          </w:p>
        </w:tc>
        <w:tc>
          <w:tcPr>
            <w:tcW w:w="7803"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 xml:space="preserve">Total (en Tonne) des </w:t>
            </w:r>
            <w:r w:rsidRPr="009016B5">
              <w:rPr>
                <w:rFonts w:cs="Arial"/>
                <w:b/>
              </w:rPr>
              <w:t xml:space="preserve">déchets chimiques </w:t>
            </w:r>
            <w:r w:rsidRPr="009016B5">
              <w:rPr>
                <w:rFonts w:cs="Arial"/>
              </w:rPr>
              <w:t xml:space="preserve">provenant des ménages et collectés sélectivement en vue du réemploi et du recyclage </w:t>
            </w:r>
          </w:p>
        </w:tc>
      </w:tr>
      <w:tr w:rsidR="007240D5" w:rsidRPr="009016B5" w:rsidTr="008A2B71">
        <w:tc>
          <w:tcPr>
            <w:tcW w:w="1377"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D6</w:t>
            </w:r>
          </w:p>
        </w:tc>
        <w:tc>
          <w:tcPr>
            <w:tcW w:w="7803"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 xml:space="preserve">Total (en Tonne) des </w:t>
            </w:r>
            <w:r w:rsidRPr="009016B5">
              <w:rPr>
                <w:rFonts w:cs="Arial"/>
                <w:b/>
              </w:rPr>
              <w:t>déchets verts</w:t>
            </w:r>
            <w:r w:rsidRPr="009016B5">
              <w:rPr>
                <w:rFonts w:cs="Arial"/>
              </w:rPr>
              <w:t xml:space="preserve"> provenant des ménages et collectés sélectivement en vue de leur recyclage.</w:t>
            </w:r>
          </w:p>
        </w:tc>
      </w:tr>
      <w:tr w:rsidR="007240D5" w:rsidRPr="009016B5" w:rsidTr="008A2B71">
        <w:tc>
          <w:tcPr>
            <w:tcW w:w="1377"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D7</w:t>
            </w:r>
          </w:p>
        </w:tc>
        <w:tc>
          <w:tcPr>
            <w:tcW w:w="7803"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 xml:space="preserve">Total (en Tonne) des </w:t>
            </w:r>
            <w:r w:rsidRPr="009016B5">
              <w:rPr>
                <w:rFonts w:cs="Arial"/>
                <w:b/>
              </w:rPr>
              <w:t>métaux</w:t>
            </w:r>
            <w:r w:rsidRPr="009016B5">
              <w:rPr>
                <w:rFonts w:cs="Arial"/>
              </w:rPr>
              <w:t xml:space="preserve"> provenant des ménages et collectés sélectivement en vue de leur recyclage</w:t>
            </w:r>
          </w:p>
        </w:tc>
      </w:tr>
      <w:tr w:rsidR="007240D5" w:rsidRPr="009016B5" w:rsidTr="008A2B71">
        <w:tc>
          <w:tcPr>
            <w:tcW w:w="1377"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D8</w:t>
            </w:r>
          </w:p>
        </w:tc>
        <w:tc>
          <w:tcPr>
            <w:tcW w:w="7803"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 xml:space="preserve">Total (en Tonne) des </w:t>
            </w:r>
            <w:r w:rsidRPr="009016B5">
              <w:rPr>
                <w:rFonts w:cs="Arial"/>
                <w:b/>
              </w:rPr>
              <w:t xml:space="preserve">déchets de bois </w:t>
            </w:r>
            <w:r w:rsidRPr="009016B5">
              <w:rPr>
                <w:rFonts w:cs="Arial"/>
              </w:rPr>
              <w:t xml:space="preserve">provenant des ménages et collectés sélectivement en vue de du réemploi et du recyclage </w:t>
            </w:r>
          </w:p>
        </w:tc>
      </w:tr>
      <w:tr w:rsidR="007240D5" w:rsidRPr="009016B5" w:rsidTr="008A2B71">
        <w:tc>
          <w:tcPr>
            <w:tcW w:w="1377"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D9</w:t>
            </w:r>
          </w:p>
        </w:tc>
        <w:tc>
          <w:tcPr>
            <w:tcW w:w="7803"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 xml:space="preserve">Total (en Tonne) des </w:t>
            </w:r>
            <w:r w:rsidRPr="009016B5">
              <w:rPr>
                <w:rFonts w:cs="Arial"/>
                <w:b/>
              </w:rPr>
              <w:t xml:space="preserve">autres déchets </w:t>
            </w:r>
            <w:r w:rsidRPr="009016B5">
              <w:rPr>
                <w:rFonts w:cs="Arial"/>
              </w:rPr>
              <w:t>provenant des ménages et collectés sélectivement par les communes en vue de leur réemploi et recyclage</w:t>
            </w:r>
          </w:p>
        </w:tc>
      </w:tr>
      <w:tr w:rsidR="007240D5" w:rsidRPr="009016B5" w:rsidTr="008A2B71">
        <w:tc>
          <w:tcPr>
            <w:tcW w:w="1377"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D</w:t>
            </w:r>
          </w:p>
        </w:tc>
        <w:tc>
          <w:tcPr>
            <w:tcW w:w="7803"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Total (en Tonne) des déchets ménagers collectés sélectivement par les communes en vue de leur réemploi ou de leur recyclage, calculé comme suit :</w:t>
            </w:r>
          </w:p>
          <w:p w:rsidR="007240D5" w:rsidRPr="009016B5" w:rsidRDefault="007240D5" w:rsidP="008A2B71">
            <w:pPr>
              <w:jc w:val="both"/>
              <w:rPr>
                <w:rFonts w:cs="Arial"/>
              </w:rPr>
            </w:pPr>
            <w:r w:rsidRPr="009016B5">
              <w:rPr>
                <w:rFonts w:cs="Arial"/>
              </w:rPr>
              <w:t>D=somme de D1 à D8</w:t>
            </w:r>
          </w:p>
        </w:tc>
      </w:tr>
    </w:tbl>
    <w:p w:rsidR="007240D5" w:rsidRDefault="007240D5" w:rsidP="007240D5">
      <w:pPr>
        <w:jc w:val="both"/>
        <w:rPr>
          <w:rFonts w:cs="Arial"/>
          <w:u w:val="single"/>
        </w:rPr>
      </w:pPr>
    </w:p>
    <w:p w:rsidR="007240D5" w:rsidRPr="009016B5" w:rsidRDefault="007240D5" w:rsidP="007240D5">
      <w:pPr>
        <w:jc w:val="both"/>
        <w:rPr>
          <w:rFonts w:cs="Arial"/>
          <w:u w:val="single"/>
        </w:rPr>
      </w:pPr>
      <w:r w:rsidRPr="009016B5">
        <w:rPr>
          <w:rFonts w:cs="Arial"/>
          <w:u w:val="single"/>
        </w:rPr>
        <w:t>Les déchets ménagers collectés par les détaillants en RBC dans le cadre des obligations de reprise</w:t>
      </w:r>
    </w:p>
    <w:p w:rsidR="007240D5" w:rsidRPr="009016B5" w:rsidRDefault="007240D5" w:rsidP="007240D5">
      <w:pPr>
        <w:jc w:val="both"/>
      </w:pPr>
      <w:r w:rsidRPr="009016B5">
        <w:rPr>
          <w:rFonts w:cs="Arial"/>
        </w:rPr>
        <w:t xml:space="preserve">Ces informations sont acquises par </w:t>
      </w:r>
      <w:r>
        <w:rPr>
          <w:rFonts w:cs="Arial"/>
        </w:rPr>
        <w:t>Bruxelles Environnement</w:t>
      </w:r>
      <w:r w:rsidRPr="009016B5">
        <w:rPr>
          <w:rFonts w:cs="Arial"/>
        </w:rPr>
        <w:t xml:space="preserve"> dans le cadre du suivi des Responsabilité élargie des producteurs en vertu du titre II de l’arrêté du 1</w:t>
      </w:r>
      <w:r w:rsidRPr="009016B5">
        <w:rPr>
          <w:rFonts w:cs="Arial"/>
          <w:vertAlign w:val="superscript"/>
        </w:rPr>
        <w:t>er</w:t>
      </w:r>
      <w:r w:rsidRPr="009016B5">
        <w:t xml:space="preserve"> </w:t>
      </w:r>
      <w:r w:rsidRPr="009016B5">
        <w:rPr>
          <w:rFonts w:cs="Arial"/>
        </w:rPr>
        <w:t>décembre 2016 et des chapitres 2 et 3 du titre IV du même arrêté. Les données sont issues des rapports d’activité transmis par les organismes en charge de la responsabilité élargie des producteurs.</w:t>
      </w:r>
    </w:p>
    <w:tbl>
      <w:tblPr>
        <w:tblStyle w:val="Grilledutableau"/>
        <w:tblW w:w="0" w:type="auto"/>
        <w:tblInd w:w="0" w:type="dxa"/>
        <w:tblLook w:val="04A0" w:firstRow="1" w:lastRow="0" w:firstColumn="1" w:lastColumn="0" w:noHBand="0" w:noVBand="1"/>
      </w:tblPr>
      <w:tblGrid>
        <w:gridCol w:w="1377"/>
        <w:gridCol w:w="7639"/>
      </w:tblGrid>
      <w:tr w:rsidR="007240D5" w:rsidRPr="009016B5" w:rsidTr="008A2B71">
        <w:tc>
          <w:tcPr>
            <w:tcW w:w="1384"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p>
          <w:p w:rsidR="007240D5" w:rsidRPr="009016B5" w:rsidRDefault="007240D5" w:rsidP="008A2B71">
            <w:pPr>
              <w:jc w:val="both"/>
            </w:pPr>
            <w:r w:rsidRPr="009016B5">
              <w:rPr>
                <w:rFonts w:cs="Arial"/>
              </w:rPr>
              <w:t>Référence</w:t>
            </w:r>
          </w:p>
        </w:tc>
        <w:tc>
          <w:tcPr>
            <w:tcW w:w="7796" w:type="dxa"/>
            <w:tcBorders>
              <w:top w:val="single" w:sz="4" w:space="0" w:color="auto"/>
              <w:left w:val="single" w:sz="4" w:space="0" w:color="auto"/>
              <w:bottom w:val="single" w:sz="4" w:space="0" w:color="auto"/>
              <w:right w:val="single" w:sz="4" w:space="0" w:color="auto"/>
            </w:tcBorders>
            <w:hideMark/>
          </w:tcPr>
          <w:p w:rsidR="007240D5" w:rsidRPr="009016B5" w:rsidRDefault="007240D5" w:rsidP="008A2B71">
            <w:pPr>
              <w:jc w:val="both"/>
              <w:rPr>
                <w:rFonts w:cs="Arial"/>
              </w:rPr>
            </w:pPr>
            <w:r w:rsidRPr="009016B5">
              <w:rPr>
                <w:rFonts w:cs="Arial"/>
              </w:rPr>
              <w:t xml:space="preserve">Déchets ménagers collectés par les détaillants sur le territoire de la Région dans le cadre de l’obligation de reprise (y compris les quantités collectées par le redevable, les communes et les entreprises à finalité sociale) </w:t>
            </w:r>
          </w:p>
        </w:tc>
      </w:tr>
      <w:tr w:rsidR="007240D5" w:rsidRPr="009016B5" w:rsidTr="008A2B71">
        <w:tc>
          <w:tcPr>
            <w:tcW w:w="1384"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E1</w:t>
            </w:r>
          </w:p>
        </w:tc>
        <w:tc>
          <w:tcPr>
            <w:tcW w:w="7796" w:type="dxa"/>
            <w:tcBorders>
              <w:top w:val="single" w:sz="4" w:space="0" w:color="auto"/>
              <w:left w:val="single" w:sz="4" w:space="0" w:color="auto"/>
              <w:bottom w:val="single" w:sz="4" w:space="0" w:color="auto"/>
              <w:right w:val="single" w:sz="4" w:space="0" w:color="auto"/>
            </w:tcBorders>
            <w:hideMark/>
          </w:tcPr>
          <w:p w:rsidR="007240D5" w:rsidRPr="009016B5" w:rsidRDefault="007240D5" w:rsidP="008A2B71">
            <w:pPr>
              <w:jc w:val="both"/>
              <w:rPr>
                <w:rFonts w:cs="Arial"/>
              </w:rPr>
            </w:pPr>
            <w:r w:rsidRPr="009016B5">
              <w:rPr>
                <w:rFonts w:cs="Arial"/>
              </w:rPr>
              <w:t xml:space="preserve">Total (en Tonne) des </w:t>
            </w:r>
            <w:r w:rsidRPr="009016B5">
              <w:rPr>
                <w:rFonts w:cs="Arial"/>
                <w:b/>
              </w:rPr>
              <w:t>piles et accumulateurs portables</w:t>
            </w:r>
            <w:r w:rsidRPr="009016B5">
              <w:rPr>
                <w:rFonts w:cs="Arial"/>
              </w:rPr>
              <w:t xml:space="preserve"> provenant des ménages et collectés sélectivement en vue de leur recyclage</w:t>
            </w:r>
          </w:p>
        </w:tc>
      </w:tr>
      <w:tr w:rsidR="007240D5" w:rsidRPr="009016B5" w:rsidTr="008A2B71">
        <w:tc>
          <w:tcPr>
            <w:tcW w:w="1384"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E2</w:t>
            </w:r>
          </w:p>
        </w:tc>
        <w:tc>
          <w:tcPr>
            <w:tcW w:w="7796" w:type="dxa"/>
            <w:tcBorders>
              <w:top w:val="single" w:sz="4" w:space="0" w:color="auto"/>
              <w:left w:val="single" w:sz="4" w:space="0" w:color="auto"/>
              <w:bottom w:val="single" w:sz="4" w:space="0" w:color="auto"/>
              <w:right w:val="single" w:sz="4" w:space="0" w:color="auto"/>
            </w:tcBorders>
            <w:hideMark/>
          </w:tcPr>
          <w:p w:rsidR="007240D5" w:rsidRPr="009016B5" w:rsidRDefault="007240D5" w:rsidP="008A2B71">
            <w:pPr>
              <w:jc w:val="both"/>
              <w:rPr>
                <w:rFonts w:cs="Arial"/>
              </w:rPr>
            </w:pPr>
            <w:r w:rsidRPr="009016B5">
              <w:rPr>
                <w:rFonts w:cs="Arial"/>
              </w:rPr>
              <w:t xml:space="preserve">Total (en Tonne) des </w:t>
            </w:r>
            <w:r w:rsidRPr="009016B5">
              <w:rPr>
                <w:rFonts w:cs="Arial"/>
                <w:b/>
              </w:rPr>
              <w:t>médicaments périmés</w:t>
            </w:r>
            <w:r w:rsidRPr="009016B5">
              <w:rPr>
                <w:rFonts w:cs="Arial"/>
              </w:rPr>
              <w:t xml:space="preserve"> provenant des ménages et collectés sélectivement</w:t>
            </w:r>
          </w:p>
        </w:tc>
      </w:tr>
      <w:tr w:rsidR="007240D5" w:rsidRPr="009016B5" w:rsidTr="008A2B71">
        <w:tc>
          <w:tcPr>
            <w:tcW w:w="1384"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E3</w:t>
            </w:r>
          </w:p>
        </w:tc>
        <w:tc>
          <w:tcPr>
            <w:tcW w:w="7796" w:type="dxa"/>
            <w:tcBorders>
              <w:top w:val="single" w:sz="4" w:space="0" w:color="auto"/>
              <w:left w:val="single" w:sz="4" w:space="0" w:color="auto"/>
              <w:bottom w:val="single" w:sz="4" w:space="0" w:color="auto"/>
              <w:right w:val="single" w:sz="4" w:space="0" w:color="auto"/>
            </w:tcBorders>
            <w:hideMark/>
          </w:tcPr>
          <w:p w:rsidR="007240D5" w:rsidRPr="009016B5" w:rsidRDefault="007240D5" w:rsidP="008A2B71">
            <w:pPr>
              <w:jc w:val="both"/>
              <w:rPr>
                <w:rFonts w:cs="Arial"/>
              </w:rPr>
            </w:pPr>
            <w:r w:rsidRPr="009016B5">
              <w:rPr>
                <w:rFonts w:cs="Arial"/>
              </w:rPr>
              <w:t xml:space="preserve">Total (en Tonne) des </w:t>
            </w:r>
            <w:r w:rsidRPr="009016B5">
              <w:rPr>
                <w:rFonts w:cs="Arial"/>
                <w:b/>
              </w:rPr>
              <w:t>pneus de la catégorie « tourisme »</w:t>
            </w:r>
            <w:r w:rsidRPr="009016B5">
              <w:rPr>
                <w:rFonts w:cs="Arial"/>
              </w:rPr>
              <w:t xml:space="preserve"> provenant des ménages et collectés sélectivement en vue de leur recyclage et de leur réemploi</w:t>
            </w:r>
          </w:p>
        </w:tc>
      </w:tr>
      <w:tr w:rsidR="007240D5" w:rsidRPr="009016B5" w:rsidTr="008A2B71">
        <w:tc>
          <w:tcPr>
            <w:tcW w:w="1384"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E4</w:t>
            </w:r>
          </w:p>
        </w:tc>
        <w:tc>
          <w:tcPr>
            <w:tcW w:w="7796" w:type="dxa"/>
            <w:tcBorders>
              <w:top w:val="single" w:sz="4" w:space="0" w:color="auto"/>
              <w:left w:val="single" w:sz="4" w:space="0" w:color="auto"/>
              <w:bottom w:val="single" w:sz="4" w:space="0" w:color="auto"/>
              <w:right w:val="single" w:sz="4" w:space="0" w:color="auto"/>
            </w:tcBorders>
            <w:hideMark/>
          </w:tcPr>
          <w:p w:rsidR="007240D5" w:rsidRPr="009016B5" w:rsidRDefault="007240D5" w:rsidP="008A2B71">
            <w:pPr>
              <w:jc w:val="both"/>
              <w:rPr>
                <w:rFonts w:cs="Arial"/>
              </w:rPr>
            </w:pPr>
            <w:r w:rsidRPr="009016B5">
              <w:rPr>
                <w:rFonts w:cs="Arial"/>
              </w:rPr>
              <w:t xml:space="preserve">Total (en Tonne) des </w:t>
            </w:r>
            <w:r w:rsidRPr="009016B5">
              <w:rPr>
                <w:rFonts w:cs="Arial"/>
                <w:b/>
              </w:rPr>
              <w:t xml:space="preserve">graisses et huiles alimentaires </w:t>
            </w:r>
            <w:r w:rsidRPr="009016B5">
              <w:rPr>
                <w:rFonts w:cs="Arial"/>
              </w:rPr>
              <w:t xml:space="preserve">provenant des ménages et collectés sélectivement en vue de leur recyclage </w:t>
            </w:r>
          </w:p>
        </w:tc>
      </w:tr>
      <w:tr w:rsidR="007240D5" w:rsidRPr="009016B5" w:rsidTr="008A2B71">
        <w:tc>
          <w:tcPr>
            <w:tcW w:w="1384"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E5</w:t>
            </w:r>
          </w:p>
        </w:tc>
        <w:tc>
          <w:tcPr>
            <w:tcW w:w="7796" w:type="dxa"/>
            <w:tcBorders>
              <w:top w:val="single" w:sz="4" w:space="0" w:color="auto"/>
              <w:left w:val="single" w:sz="4" w:space="0" w:color="auto"/>
              <w:bottom w:val="single" w:sz="4" w:space="0" w:color="auto"/>
              <w:right w:val="single" w:sz="4" w:space="0" w:color="auto"/>
            </w:tcBorders>
            <w:hideMark/>
          </w:tcPr>
          <w:p w:rsidR="007240D5" w:rsidRPr="009016B5" w:rsidRDefault="007240D5" w:rsidP="008A2B71">
            <w:pPr>
              <w:jc w:val="both"/>
              <w:rPr>
                <w:rFonts w:cs="Arial"/>
              </w:rPr>
            </w:pPr>
            <w:r w:rsidRPr="009016B5">
              <w:rPr>
                <w:rFonts w:cs="Arial"/>
              </w:rPr>
              <w:t xml:space="preserve">Total (en Tonne) des </w:t>
            </w:r>
            <w:r w:rsidRPr="009016B5">
              <w:rPr>
                <w:rFonts w:cs="Arial"/>
                <w:b/>
              </w:rPr>
              <w:t xml:space="preserve">déchets électriques et électroniques </w:t>
            </w:r>
            <w:r w:rsidRPr="009016B5">
              <w:rPr>
                <w:rFonts w:cs="Arial"/>
              </w:rPr>
              <w:t>provenant des ménages et collectés sélectivement en vue de leur recyclage et de leur réemploi</w:t>
            </w:r>
          </w:p>
        </w:tc>
      </w:tr>
      <w:tr w:rsidR="007240D5" w:rsidRPr="009016B5" w:rsidTr="008A2B71">
        <w:tc>
          <w:tcPr>
            <w:tcW w:w="1384"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E6</w:t>
            </w:r>
          </w:p>
        </w:tc>
        <w:tc>
          <w:tcPr>
            <w:tcW w:w="7796"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 xml:space="preserve">Total (en Tonne) des </w:t>
            </w:r>
            <w:r w:rsidRPr="009016B5">
              <w:rPr>
                <w:rFonts w:cs="Arial"/>
                <w:b/>
              </w:rPr>
              <w:t xml:space="preserve">déchets d’huiles minérales </w:t>
            </w:r>
            <w:r w:rsidRPr="009016B5">
              <w:rPr>
                <w:rFonts w:cs="Arial"/>
              </w:rPr>
              <w:t>provenant des ménages et collectés sélectivement en vue de leur recyclage.</w:t>
            </w:r>
          </w:p>
        </w:tc>
      </w:tr>
      <w:tr w:rsidR="007240D5" w:rsidRPr="009016B5" w:rsidTr="008A2B71">
        <w:tc>
          <w:tcPr>
            <w:tcW w:w="1384"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E</w:t>
            </w:r>
          </w:p>
        </w:tc>
        <w:tc>
          <w:tcPr>
            <w:tcW w:w="7796"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Total (en Tonne) des déchets ménagers collectés par les détaillants en RBC dans le cadre des obligations de reprise, calculé comme suit :</w:t>
            </w:r>
          </w:p>
          <w:p w:rsidR="007240D5" w:rsidRPr="009016B5" w:rsidRDefault="007240D5" w:rsidP="008A2B71">
            <w:pPr>
              <w:jc w:val="both"/>
              <w:rPr>
                <w:rFonts w:cs="Arial"/>
              </w:rPr>
            </w:pPr>
            <w:r w:rsidRPr="009016B5">
              <w:rPr>
                <w:rFonts w:cs="Arial"/>
              </w:rPr>
              <w:t>E= somme de E1 à E6</w:t>
            </w:r>
          </w:p>
        </w:tc>
      </w:tr>
    </w:tbl>
    <w:p w:rsidR="007240D5" w:rsidRDefault="007240D5" w:rsidP="007240D5">
      <w:pPr>
        <w:jc w:val="both"/>
        <w:rPr>
          <w:rFonts w:cs="Arial"/>
          <w:u w:val="single"/>
        </w:rPr>
      </w:pPr>
    </w:p>
    <w:p w:rsidR="007240D5" w:rsidRPr="009016B5" w:rsidRDefault="007240D5" w:rsidP="007240D5">
      <w:pPr>
        <w:jc w:val="both"/>
        <w:rPr>
          <w:rFonts w:cs="Arial"/>
          <w:u w:val="single"/>
        </w:rPr>
      </w:pPr>
      <w:r w:rsidRPr="009016B5">
        <w:rPr>
          <w:rFonts w:cs="Arial"/>
          <w:u w:val="single"/>
        </w:rPr>
        <w:t>Les déchets organiques ménagers traités dans des centres de compostage de quartier</w:t>
      </w:r>
    </w:p>
    <w:p w:rsidR="007240D5" w:rsidRPr="009016B5" w:rsidRDefault="007240D5" w:rsidP="007240D5">
      <w:pPr>
        <w:jc w:val="both"/>
        <w:rPr>
          <w:rFonts w:cs="Arial"/>
        </w:rPr>
      </w:pPr>
      <w:r w:rsidRPr="009016B5">
        <w:rPr>
          <w:rFonts w:cs="Arial"/>
        </w:rPr>
        <w:lastRenderedPageBreak/>
        <w:t xml:space="preserve">Ces informations sont acquises par </w:t>
      </w:r>
      <w:r>
        <w:rPr>
          <w:rFonts w:cs="Arial"/>
        </w:rPr>
        <w:t>Bruxelles Environnement</w:t>
      </w:r>
      <w:r w:rsidRPr="009016B5">
        <w:rPr>
          <w:rFonts w:cs="Arial"/>
        </w:rPr>
        <w:t xml:space="preserve"> et correspondent aux tonnages de déchets verts traités par compostage, dans le cadre des activités qu’il soutient pour les ménages. A défaut de données, le tonnage de l’exercice précédent à celui de l’année considérée est utilisé.</w:t>
      </w:r>
    </w:p>
    <w:tbl>
      <w:tblPr>
        <w:tblStyle w:val="Grilledutableau"/>
        <w:tblW w:w="0" w:type="auto"/>
        <w:tblInd w:w="0" w:type="dxa"/>
        <w:tblLook w:val="04A0" w:firstRow="1" w:lastRow="0" w:firstColumn="1" w:lastColumn="0" w:noHBand="0" w:noVBand="1"/>
      </w:tblPr>
      <w:tblGrid>
        <w:gridCol w:w="1792"/>
        <w:gridCol w:w="7224"/>
      </w:tblGrid>
      <w:tr w:rsidR="007240D5" w:rsidRPr="009016B5" w:rsidTr="008A2B71">
        <w:tc>
          <w:tcPr>
            <w:tcW w:w="1809" w:type="dxa"/>
          </w:tcPr>
          <w:p w:rsidR="007240D5" w:rsidRPr="009016B5" w:rsidRDefault="007240D5" w:rsidP="008A2B71">
            <w:pPr>
              <w:jc w:val="both"/>
              <w:rPr>
                <w:rFonts w:cs="Arial"/>
              </w:rPr>
            </w:pPr>
          </w:p>
          <w:p w:rsidR="007240D5" w:rsidRPr="009016B5" w:rsidRDefault="007240D5" w:rsidP="008A2B71">
            <w:pPr>
              <w:jc w:val="both"/>
              <w:rPr>
                <w:rFonts w:cs="Arial"/>
              </w:rPr>
            </w:pPr>
            <w:r w:rsidRPr="009016B5">
              <w:rPr>
                <w:rFonts w:cs="Arial"/>
              </w:rPr>
              <w:t>Référence</w:t>
            </w:r>
          </w:p>
        </w:tc>
        <w:tc>
          <w:tcPr>
            <w:tcW w:w="7371" w:type="dxa"/>
            <w:hideMark/>
          </w:tcPr>
          <w:p w:rsidR="007240D5" w:rsidRPr="009016B5" w:rsidRDefault="007240D5" w:rsidP="008A2B71">
            <w:pPr>
              <w:jc w:val="both"/>
              <w:rPr>
                <w:rFonts w:cs="Arial"/>
                <w:b/>
              </w:rPr>
            </w:pPr>
            <w:r w:rsidRPr="009016B5">
              <w:rPr>
                <w:rFonts w:cs="Arial"/>
                <w:b/>
              </w:rPr>
              <w:t>Autres déchets ménagers collectés sélectivement</w:t>
            </w:r>
          </w:p>
        </w:tc>
      </w:tr>
      <w:tr w:rsidR="007240D5" w:rsidRPr="009016B5" w:rsidTr="008A2B71">
        <w:tc>
          <w:tcPr>
            <w:tcW w:w="1809" w:type="dxa"/>
            <w:tcBorders>
              <w:top w:val="single" w:sz="4" w:space="0" w:color="auto"/>
              <w:left w:val="single" w:sz="4" w:space="0" w:color="auto"/>
              <w:bottom w:val="single" w:sz="4" w:space="0" w:color="auto"/>
              <w:right w:val="single" w:sz="4" w:space="0" w:color="auto"/>
            </w:tcBorders>
          </w:tcPr>
          <w:p w:rsidR="007240D5" w:rsidRPr="009016B5" w:rsidRDefault="007240D5" w:rsidP="008A2B71">
            <w:pPr>
              <w:jc w:val="both"/>
              <w:rPr>
                <w:rFonts w:cs="Arial"/>
              </w:rPr>
            </w:pPr>
            <w:r w:rsidRPr="009016B5">
              <w:rPr>
                <w:rFonts w:cs="Arial"/>
              </w:rPr>
              <w:t>F</w:t>
            </w:r>
          </w:p>
        </w:tc>
        <w:tc>
          <w:tcPr>
            <w:tcW w:w="7371" w:type="dxa"/>
            <w:tcBorders>
              <w:top w:val="single" w:sz="4" w:space="0" w:color="auto"/>
              <w:left w:val="single" w:sz="4" w:space="0" w:color="auto"/>
              <w:bottom w:val="single" w:sz="4" w:space="0" w:color="auto"/>
              <w:right w:val="single" w:sz="4" w:space="0" w:color="auto"/>
            </w:tcBorders>
            <w:hideMark/>
          </w:tcPr>
          <w:p w:rsidR="007240D5" w:rsidRPr="009016B5" w:rsidRDefault="007240D5" w:rsidP="008A2B71">
            <w:pPr>
              <w:jc w:val="both"/>
              <w:rPr>
                <w:rFonts w:cs="Arial"/>
              </w:rPr>
            </w:pPr>
            <w:r w:rsidRPr="009016B5">
              <w:rPr>
                <w:rFonts w:cs="Arial"/>
              </w:rPr>
              <w:t>Déchets organiques traités dans des centres de compostages de quartier</w:t>
            </w:r>
          </w:p>
        </w:tc>
      </w:tr>
    </w:tbl>
    <w:p w:rsidR="007240D5" w:rsidRDefault="007240D5" w:rsidP="00694F7A"/>
    <w:p w:rsidR="007240D5" w:rsidRDefault="007240D5" w:rsidP="00694F7A"/>
    <w:p w:rsidR="007240D5" w:rsidRDefault="007240D5" w:rsidP="00694F7A"/>
    <w:p w:rsidR="007240D5" w:rsidRDefault="007240D5" w:rsidP="00694F7A"/>
    <w:p w:rsidR="007240D5" w:rsidRDefault="007240D5" w:rsidP="00694F7A"/>
    <w:p w:rsidR="007240D5" w:rsidRDefault="007240D5" w:rsidP="00694F7A"/>
    <w:p w:rsidR="007240D5" w:rsidRDefault="007240D5" w:rsidP="00694F7A"/>
    <w:p w:rsidR="007240D5" w:rsidRDefault="007240D5" w:rsidP="00694F7A"/>
    <w:p w:rsidR="007240D5" w:rsidRDefault="007240D5" w:rsidP="00694F7A"/>
    <w:p w:rsidR="007240D5" w:rsidRDefault="007240D5" w:rsidP="00694F7A"/>
    <w:p w:rsidR="007240D5" w:rsidRDefault="007240D5" w:rsidP="00694F7A"/>
    <w:p w:rsidR="007240D5" w:rsidRDefault="007240D5" w:rsidP="00694F7A"/>
    <w:p w:rsidR="007240D5" w:rsidRDefault="007240D5" w:rsidP="00694F7A"/>
    <w:p w:rsidR="007240D5" w:rsidRDefault="007240D5" w:rsidP="00694F7A"/>
    <w:p w:rsidR="007240D5" w:rsidRDefault="007240D5" w:rsidP="00694F7A"/>
    <w:p w:rsidR="007240D5" w:rsidRDefault="007240D5" w:rsidP="00694F7A"/>
    <w:p w:rsidR="007240D5" w:rsidRDefault="007240D5" w:rsidP="00694F7A"/>
    <w:p w:rsidR="007240D5" w:rsidRDefault="007240D5" w:rsidP="00694F7A"/>
    <w:p w:rsidR="007240D5" w:rsidRDefault="007240D5" w:rsidP="00694F7A"/>
    <w:p w:rsidR="007240D5" w:rsidRDefault="007240D5" w:rsidP="00694F7A"/>
    <w:p w:rsidR="007240D5" w:rsidRDefault="007240D5" w:rsidP="00694F7A"/>
    <w:p w:rsidR="007240D5" w:rsidRDefault="007240D5" w:rsidP="00694F7A"/>
    <w:p w:rsidR="007240D5" w:rsidRDefault="007240D5" w:rsidP="00694F7A"/>
    <w:p w:rsidR="007240D5" w:rsidRPr="00694F7A" w:rsidRDefault="007240D5" w:rsidP="00694F7A">
      <w:bookmarkStart w:id="0" w:name="_GoBack"/>
      <w:bookmarkEnd w:id="0"/>
    </w:p>
    <w:sectPr w:rsidR="007240D5" w:rsidRPr="00694F7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B71" w:rsidRDefault="008A2B71" w:rsidP="00F8510F">
      <w:pPr>
        <w:spacing w:after="0" w:line="240" w:lineRule="auto"/>
      </w:pPr>
      <w:r>
        <w:separator/>
      </w:r>
    </w:p>
  </w:endnote>
  <w:endnote w:type="continuationSeparator" w:id="0">
    <w:p w:rsidR="008A2B71" w:rsidRDefault="008A2B71" w:rsidP="00F85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B71" w:rsidRDefault="008A2B71">
    <w:pPr>
      <w:pStyle w:val="Pieddepage"/>
    </w:pPr>
    <w:r>
      <w:fldChar w:fldCharType="begin"/>
    </w:r>
    <w:r>
      <w:instrText>PAGE   \* MERGEFORMAT</w:instrText>
    </w:r>
    <w:r>
      <w:fldChar w:fldCharType="separate"/>
    </w:r>
    <w:r w:rsidR="00927C62" w:rsidRPr="00927C62">
      <w:rPr>
        <w:noProof/>
        <w:lang w:val="fr-FR"/>
      </w:rPr>
      <w:t>1</w:t>
    </w:r>
    <w:r>
      <w:rPr>
        <w:noProof/>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B71" w:rsidRDefault="008A2B71" w:rsidP="00F8510F">
      <w:pPr>
        <w:spacing w:after="0" w:line="240" w:lineRule="auto"/>
      </w:pPr>
      <w:r>
        <w:separator/>
      </w:r>
    </w:p>
  </w:footnote>
  <w:footnote w:type="continuationSeparator" w:id="0">
    <w:p w:rsidR="008A2B71" w:rsidRDefault="008A2B71" w:rsidP="00F8510F">
      <w:pPr>
        <w:spacing w:after="0" w:line="240" w:lineRule="auto"/>
      </w:pPr>
      <w:r>
        <w:continuationSeparator/>
      </w:r>
    </w:p>
  </w:footnote>
  <w:footnote w:id="1">
    <w:p w:rsidR="008A2B71" w:rsidRDefault="008A2B71" w:rsidP="00694F7A">
      <w:pPr>
        <w:pStyle w:val="Notedebasdepage"/>
      </w:pPr>
      <w:r w:rsidRPr="000755CC">
        <w:rPr>
          <w:rStyle w:val="Appelnotedebasdep"/>
        </w:rPr>
        <w:footnoteRef/>
      </w:r>
      <w:r w:rsidRPr="000755CC">
        <w:t xml:space="preserve"> </w:t>
      </w:r>
      <w:r w:rsidRPr="000755CC">
        <w:rPr>
          <w:sz w:val="18"/>
        </w:rPr>
        <w:t>Veuillez renseigner uniquement des données de contact professionnelles.</w:t>
      </w:r>
    </w:p>
  </w:footnote>
  <w:footnote w:id="2">
    <w:p w:rsidR="008A2B71" w:rsidRDefault="008A2B71" w:rsidP="00694F7A">
      <w:pPr>
        <w:pStyle w:val="Notedebasdepage"/>
      </w:pPr>
      <w:r>
        <w:rPr>
          <w:rStyle w:val="Appelnotedebasdep"/>
        </w:rPr>
        <w:footnoteRef/>
      </w:r>
      <w:r>
        <w:t xml:space="preserve"> Si Bruxelles Environnement dispose de cette donnée au moment de l’envoi du formulaire de déclaration, elle est pré-remplie par l’Institut dans le formulaire envoyé au redevable. Bruxelles Environnement précise la manière dont cette donnée a été calculée en listant les flux de déchets qui ont été pris en compte.</w:t>
      </w:r>
    </w:p>
  </w:footnote>
  <w:footnote w:id="3">
    <w:p w:rsidR="008A2B71" w:rsidRPr="0004770D" w:rsidRDefault="008A2B71" w:rsidP="00694F7A">
      <w:pPr>
        <w:pStyle w:val="Notedebasdepage"/>
        <w:rPr>
          <w:lang w:val="nl-NL"/>
        </w:rPr>
      </w:pPr>
      <w:r>
        <w:rPr>
          <w:rStyle w:val="Appelnotedebasdep"/>
        </w:rPr>
        <w:footnoteRef/>
      </w:r>
      <w:r w:rsidRPr="0004770D">
        <w:rPr>
          <w:lang w:val="nl-NL"/>
        </w:rPr>
        <w:t xml:space="preserve"> Idem. </w:t>
      </w:r>
    </w:p>
  </w:footnote>
  <w:footnote w:id="4">
    <w:p w:rsidR="008A2B71" w:rsidRPr="0004770D" w:rsidRDefault="008A2B71" w:rsidP="00694F7A">
      <w:pPr>
        <w:pStyle w:val="Notedebasdepage"/>
        <w:rPr>
          <w:lang w:val="nl-NL"/>
        </w:rPr>
      </w:pPr>
      <w:r>
        <w:rPr>
          <w:rStyle w:val="Appelnotedebasdep"/>
        </w:rPr>
        <w:footnoteRef/>
      </w:r>
      <w:r w:rsidRPr="0004770D">
        <w:rPr>
          <w:lang w:val="nl-NL"/>
        </w:rPr>
        <w:t xml:space="preserve"> Idem.</w:t>
      </w:r>
    </w:p>
  </w:footnote>
  <w:footnote w:id="5">
    <w:p w:rsidR="008A2B71" w:rsidRPr="0004770D" w:rsidRDefault="008A2B71" w:rsidP="00694F7A">
      <w:pPr>
        <w:pStyle w:val="Notedebasdepage"/>
        <w:rPr>
          <w:lang w:val="nl-NL"/>
        </w:rPr>
      </w:pPr>
      <w:r>
        <w:rPr>
          <w:rStyle w:val="Appelnotedebasdep"/>
        </w:rPr>
        <w:footnoteRef/>
      </w:r>
      <w:r w:rsidRPr="0004770D">
        <w:rPr>
          <w:lang w:val="nl-NL"/>
        </w:rPr>
        <w:t xml:space="preserve"> Idem.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7F55"/>
    <w:multiLevelType w:val="hybridMultilevel"/>
    <w:tmpl w:val="15F81A04"/>
    <w:lvl w:ilvl="0" w:tplc="080C000F">
      <w:start w:val="1"/>
      <w:numFmt w:val="decimal"/>
      <w:lvlText w:val="%1."/>
      <w:lvlJc w:val="left"/>
      <w:pPr>
        <w:ind w:left="1506" w:hanging="360"/>
      </w:pPr>
      <w:rPr>
        <w:rFonts w:cs="Times New Roman" w:hint="default"/>
      </w:rPr>
    </w:lvl>
    <w:lvl w:ilvl="1" w:tplc="080C0019" w:tentative="1">
      <w:start w:val="1"/>
      <w:numFmt w:val="lowerLetter"/>
      <w:lvlText w:val="%2."/>
      <w:lvlJc w:val="left"/>
      <w:pPr>
        <w:ind w:left="2226" w:hanging="360"/>
      </w:pPr>
      <w:rPr>
        <w:rFonts w:cs="Times New Roman"/>
      </w:rPr>
    </w:lvl>
    <w:lvl w:ilvl="2" w:tplc="080C001B" w:tentative="1">
      <w:start w:val="1"/>
      <w:numFmt w:val="lowerRoman"/>
      <w:lvlText w:val="%3."/>
      <w:lvlJc w:val="right"/>
      <w:pPr>
        <w:ind w:left="2946" w:hanging="180"/>
      </w:pPr>
      <w:rPr>
        <w:rFonts w:cs="Times New Roman"/>
      </w:rPr>
    </w:lvl>
    <w:lvl w:ilvl="3" w:tplc="080C000F" w:tentative="1">
      <w:start w:val="1"/>
      <w:numFmt w:val="decimal"/>
      <w:lvlText w:val="%4."/>
      <w:lvlJc w:val="left"/>
      <w:pPr>
        <w:ind w:left="3666" w:hanging="360"/>
      </w:pPr>
      <w:rPr>
        <w:rFonts w:cs="Times New Roman"/>
      </w:rPr>
    </w:lvl>
    <w:lvl w:ilvl="4" w:tplc="080C0019" w:tentative="1">
      <w:start w:val="1"/>
      <w:numFmt w:val="lowerLetter"/>
      <w:lvlText w:val="%5."/>
      <w:lvlJc w:val="left"/>
      <w:pPr>
        <w:ind w:left="4386" w:hanging="360"/>
      </w:pPr>
      <w:rPr>
        <w:rFonts w:cs="Times New Roman"/>
      </w:rPr>
    </w:lvl>
    <w:lvl w:ilvl="5" w:tplc="080C001B" w:tentative="1">
      <w:start w:val="1"/>
      <w:numFmt w:val="lowerRoman"/>
      <w:lvlText w:val="%6."/>
      <w:lvlJc w:val="right"/>
      <w:pPr>
        <w:ind w:left="5106" w:hanging="180"/>
      </w:pPr>
      <w:rPr>
        <w:rFonts w:cs="Times New Roman"/>
      </w:rPr>
    </w:lvl>
    <w:lvl w:ilvl="6" w:tplc="080C000F" w:tentative="1">
      <w:start w:val="1"/>
      <w:numFmt w:val="decimal"/>
      <w:lvlText w:val="%7."/>
      <w:lvlJc w:val="left"/>
      <w:pPr>
        <w:ind w:left="5826" w:hanging="360"/>
      </w:pPr>
      <w:rPr>
        <w:rFonts w:cs="Times New Roman"/>
      </w:rPr>
    </w:lvl>
    <w:lvl w:ilvl="7" w:tplc="080C0019" w:tentative="1">
      <w:start w:val="1"/>
      <w:numFmt w:val="lowerLetter"/>
      <w:lvlText w:val="%8."/>
      <w:lvlJc w:val="left"/>
      <w:pPr>
        <w:ind w:left="6546" w:hanging="360"/>
      </w:pPr>
      <w:rPr>
        <w:rFonts w:cs="Times New Roman"/>
      </w:rPr>
    </w:lvl>
    <w:lvl w:ilvl="8" w:tplc="080C001B" w:tentative="1">
      <w:start w:val="1"/>
      <w:numFmt w:val="lowerRoman"/>
      <w:lvlText w:val="%9."/>
      <w:lvlJc w:val="right"/>
      <w:pPr>
        <w:ind w:left="7266" w:hanging="180"/>
      </w:pPr>
      <w:rPr>
        <w:rFonts w:cs="Times New Roman"/>
      </w:rPr>
    </w:lvl>
  </w:abstractNum>
  <w:abstractNum w:abstractNumId="1" w15:restartNumberingAfterBreak="0">
    <w:nsid w:val="0EFA4BEA"/>
    <w:multiLevelType w:val="hybridMultilevel"/>
    <w:tmpl w:val="45AADB4E"/>
    <w:lvl w:ilvl="0" w:tplc="080C0015">
      <w:start w:val="1"/>
      <w:numFmt w:val="upperLetter"/>
      <w:lvlText w:val="%1."/>
      <w:lvlJc w:val="left"/>
      <w:pPr>
        <w:ind w:left="1440" w:hanging="360"/>
      </w:pPr>
      <w:rPr>
        <w:rFonts w:cs="Times New Roman" w:hint="default"/>
      </w:rPr>
    </w:lvl>
    <w:lvl w:ilvl="1" w:tplc="080C0003" w:tentative="1">
      <w:start w:val="1"/>
      <w:numFmt w:val="bullet"/>
      <w:lvlText w:val="o"/>
      <w:lvlJc w:val="left"/>
      <w:pPr>
        <w:ind w:left="2160" w:hanging="36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15:restartNumberingAfterBreak="0">
    <w:nsid w:val="0FF60AA3"/>
    <w:multiLevelType w:val="hybridMultilevel"/>
    <w:tmpl w:val="5E2C49B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397B03"/>
    <w:multiLevelType w:val="hybridMultilevel"/>
    <w:tmpl w:val="15F81A04"/>
    <w:lvl w:ilvl="0" w:tplc="080C000F">
      <w:start w:val="1"/>
      <w:numFmt w:val="decimal"/>
      <w:lvlText w:val="%1."/>
      <w:lvlJc w:val="left"/>
      <w:pPr>
        <w:ind w:left="1506" w:hanging="360"/>
      </w:pPr>
      <w:rPr>
        <w:rFonts w:cs="Times New Roman" w:hint="default"/>
      </w:rPr>
    </w:lvl>
    <w:lvl w:ilvl="1" w:tplc="080C0019" w:tentative="1">
      <w:start w:val="1"/>
      <w:numFmt w:val="lowerLetter"/>
      <w:lvlText w:val="%2."/>
      <w:lvlJc w:val="left"/>
      <w:pPr>
        <w:ind w:left="2226" w:hanging="360"/>
      </w:pPr>
      <w:rPr>
        <w:rFonts w:cs="Times New Roman"/>
      </w:rPr>
    </w:lvl>
    <w:lvl w:ilvl="2" w:tplc="080C001B" w:tentative="1">
      <w:start w:val="1"/>
      <w:numFmt w:val="lowerRoman"/>
      <w:lvlText w:val="%3."/>
      <w:lvlJc w:val="right"/>
      <w:pPr>
        <w:ind w:left="2946" w:hanging="180"/>
      </w:pPr>
      <w:rPr>
        <w:rFonts w:cs="Times New Roman"/>
      </w:rPr>
    </w:lvl>
    <w:lvl w:ilvl="3" w:tplc="080C000F" w:tentative="1">
      <w:start w:val="1"/>
      <w:numFmt w:val="decimal"/>
      <w:lvlText w:val="%4."/>
      <w:lvlJc w:val="left"/>
      <w:pPr>
        <w:ind w:left="3666" w:hanging="360"/>
      </w:pPr>
      <w:rPr>
        <w:rFonts w:cs="Times New Roman"/>
      </w:rPr>
    </w:lvl>
    <w:lvl w:ilvl="4" w:tplc="080C0019" w:tentative="1">
      <w:start w:val="1"/>
      <w:numFmt w:val="lowerLetter"/>
      <w:lvlText w:val="%5."/>
      <w:lvlJc w:val="left"/>
      <w:pPr>
        <w:ind w:left="4386" w:hanging="360"/>
      </w:pPr>
      <w:rPr>
        <w:rFonts w:cs="Times New Roman"/>
      </w:rPr>
    </w:lvl>
    <w:lvl w:ilvl="5" w:tplc="080C001B" w:tentative="1">
      <w:start w:val="1"/>
      <w:numFmt w:val="lowerRoman"/>
      <w:lvlText w:val="%6."/>
      <w:lvlJc w:val="right"/>
      <w:pPr>
        <w:ind w:left="5106" w:hanging="180"/>
      </w:pPr>
      <w:rPr>
        <w:rFonts w:cs="Times New Roman"/>
      </w:rPr>
    </w:lvl>
    <w:lvl w:ilvl="6" w:tplc="080C000F" w:tentative="1">
      <w:start w:val="1"/>
      <w:numFmt w:val="decimal"/>
      <w:lvlText w:val="%7."/>
      <w:lvlJc w:val="left"/>
      <w:pPr>
        <w:ind w:left="5826" w:hanging="360"/>
      </w:pPr>
      <w:rPr>
        <w:rFonts w:cs="Times New Roman"/>
      </w:rPr>
    </w:lvl>
    <w:lvl w:ilvl="7" w:tplc="080C0019" w:tentative="1">
      <w:start w:val="1"/>
      <w:numFmt w:val="lowerLetter"/>
      <w:lvlText w:val="%8."/>
      <w:lvlJc w:val="left"/>
      <w:pPr>
        <w:ind w:left="6546" w:hanging="360"/>
      </w:pPr>
      <w:rPr>
        <w:rFonts w:cs="Times New Roman"/>
      </w:rPr>
    </w:lvl>
    <w:lvl w:ilvl="8" w:tplc="080C001B" w:tentative="1">
      <w:start w:val="1"/>
      <w:numFmt w:val="lowerRoman"/>
      <w:lvlText w:val="%9."/>
      <w:lvlJc w:val="right"/>
      <w:pPr>
        <w:ind w:left="7266" w:hanging="180"/>
      </w:pPr>
      <w:rPr>
        <w:rFonts w:cs="Times New Roman"/>
      </w:rPr>
    </w:lvl>
  </w:abstractNum>
  <w:abstractNum w:abstractNumId="4" w15:restartNumberingAfterBreak="0">
    <w:nsid w:val="19214C0E"/>
    <w:multiLevelType w:val="hybridMultilevel"/>
    <w:tmpl w:val="D8A84CE2"/>
    <w:lvl w:ilvl="0" w:tplc="EAF2F6BE">
      <w:start w:val="40"/>
      <w:numFmt w:val="bullet"/>
      <w:lvlText w:val=""/>
      <w:lvlJc w:val="left"/>
      <w:pPr>
        <w:ind w:left="1065" w:hanging="360"/>
      </w:pPr>
      <w:rPr>
        <w:rFonts w:ascii="Wingdings" w:eastAsia="Times New Roman" w:hAnsi="Wingdings" w:hint="default"/>
      </w:rPr>
    </w:lvl>
    <w:lvl w:ilvl="1" w:tplc="040C0001">
      <w:start w:val="1"/>
      <w:numFmt w:val="bullet"/>
      <w:lvlText w:val=""/>
      <w:lvlJc w:val="left"/>
      <w:pPr>
        <w:tabs>
          <w:tab w:val="num" w:pos="1785"/>
        </w:tabs>
        <w:ind w:left="1785" w:hanging="360"/>
      </w:pPr>
      <w:rPr>
        <w:rFonts w:ascii="Symbol" w:hAnsi="Symbol"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5" w15:restartNumberingAfterBreak="0">
    <w:nsid w:val="1E247E5F"/>
    <w:multiLevelType w:val="hybridMultilevel"/>
    <w:tmpl w:val="1DE2A8BA"/>
    <w:lvl w:ilvl="0" w:tplc="080C0001">
      <w:start w:val="1"/>
      <w:numFmt w:val="bullet"/>
      <w:lvlText w:val=""/>
      <w:lvlJc w:val="left"/>
      <w:pPr>
        <w:ind w:left="785" w:hanging="360"/>
      </w:pPr>
      <w:rPr>
        <w:rFonts w:ascii="Symbol" w:hAnsi="Symbol" w:hint="default"/>
      </w:rPr>
    </w:lvl>
    <w:lvl w:ilvl="1" w:tplc="080C0003">
      <w:start w:val="1"/>
      <w:numFmt w:val="bullet"/>
      <w:lvlText w:val="o"/>
      <w:lvlJc w:val="left"/>
      <w:pPr>
        <w:ind w:left="1505" w:hanging="360"/>
      </w:pPr>
      <w:rPr>
        <w:rFonts w:ascii="Courier New" w:hAnsi="Courier New" w:hint="default"/>
      </w:rPr>
    </w:lvl>
    <w:lvl w:ilvl="2" w:tplc="080C0005">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hint="default"/>
      </w:rPr>
    </w:lvl>
    <w:lvl w:ilvl="8" w:tplc="080C0005" w:tentative="1">
      <w:start w:val="1"/>
      <w:numFmt w:val="bullet"/>
      <w:lvlText w:val=""/>
      <w:lvlJc w:val="left"/>
      <w:pPr>
        <w:ind w:left="6545" w:hanging="360"/>
      </w:pPr>
      <w:rPr>
        <w:rFonts w:ascii="Wingdings" w:hAnsi="Wingdings" w:hint="default"/>
      </w:rPr>
    </w:lvl>
  </w:abstractNum>
  <w:abstractNum w:abstractNumId="6" w15:restartNumberingAfterBreak="0">
    <w:nsid w:val="38DD4690"/>
    <w:multiLevelType w:val="hybridMultilevel"/>
    <w:tmpl w:val="59E4D346"/>
    <w:lvl w:ilvl="0" w:tplc="797E6DA2">
      <w:numFmt w:val="bullet"/>
      <w:lvlText w:val="-"/>
      <w:lvlJc w:val="left"/>
      <w:pPr>
        <w:ind w:left="360" w:hanging="360"/>
      </w:pPr>
      <w:rPr>
        <w:rFonts w:ascii="Arial" w:eastAsia="Times New Roman"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A13356C"/>
    <w:multiLevelType w:val="hybridMultilevel"/>
    <w:tmpl w:val="BD2CD60A"/>
    <w:lvl w:ilvl="0" w:tplc="080C0001">
      <w:start w:val="1"/>
      <w:numFmt w:val="bullet"/>
      <w:lvlText w:val=""/>
      <w:lvlJc w:val="left"/>
      <w:pPr>
        <w:ind w:left="1506" w:hanging="360"/>
      </w:pPr>
      <w:rPr>
        <w:rFonts w:ascii="Symbol" w:hAnsi="Symbol" w:hint="default"/>
      </w:rPr>
    </w:lvl>
    <w:lvl w:ilvl="1" w:tplc="080C0019">
      <w:start w:val="1"/>
      <w:numFmt w:val="lowerLetter"/>
      <w:lvlText w:val="%2."/>
      <w:lvlJc w:val="left"/>
      <w:pPr>
        <w:ind w:left="2226" w:hanging="360"/>
      </w:pPr>
      <w:rPr>
        <w:rFonts w:cs="Times New Roman"/>
      </w:rPr>
    </w:lvl>
    <w:lvl w:ilvl="2" w:tplc="60CC063C">
      <w:start w:val="1"/>
      <w:numFmt w:val="lowerLetter"/>
      <w:lvlText w:val="%3)"/>
      <w:lvlJc w:val="left"/>
      <w:pPr>
        <w:ind w:left="3126" w:hanging="360"/>
      </w:pPr>
      <w:rPr>
        <w:rFonts w:hint="default"/>
      </w:rPr>
    </w:lvl>
    <w:lvl w:ilvl="3" w:tplc="F0741992">
      <w:start w:val="1"/>
      <w:numFmt w:val="bullet"/>
      <w:lvlText w:val="-"/>
      <w:lvlJc w:val="left"/>
      <w:pPr>
        <w:ind w:left="3666" w:hanging="360"/>
      </w:pPr>
      <w:rPr>
        <w:rFonts w:ascii="Arial" w:eastAsia="Calibri" w:hAnsi="Arial" w:cs="Arial" w:hint="default"/>
      </w:rPr>
    </w:lvl>
    <w:lvl w:ilvl="4" w:tplc="080C0019" w:tentative="1">
      <w:start w:val="1"/>
      <w:numFmt w:val="lowerLetter"/>
      <w:lvlText w:val="%5."/>
      <w:lvlJc w:val="left"/>
      <w:pPr>
        <w:ind w:left="4386" w:hanging="360"/>
      </w:pPr>
      <w:rPr>
        <w:rFonts w:cs="Times New Roman"/>
      </w:rPr>
    </w:lvl>
    <w:lvl w:ilvl="5" w:tplc="080C001B" w:tentative="1">
      <w:start w:val="1"/>
      <w:numFmt w:val="lowerRoman"/>
      <w:lvlText w:val="%6."/>
      <w:lvlJc w:val="right"/>
      <w:pPr>
        <w:ind w:left="5106" w:hanging="180"/>
      </w:pPr>
      <w:rPr>
        <w:rFonts w:cs="Times New Roman"/>
      </w:rPr>
    </w:lvl>
    <w:lvl w:ilvl="6" w:tplc="080C000F" w:tentative="1">
      <w:start w:val="1"/>
      <w:numFmt w:val="decimal"/>
      <w:lvlText w:val="%7."/>
      <w:lvlJc w:val="left"/>
      <w:pPr>
        <w:ind w:left="5826" w:hanging="360"/>
      </w:pPr>
      <w:rPr>
        <w:rFonts w:cs="Times New Roman"/>
      </w:rPr>
    </w:lvl>
    <w:lvl w:ilvl="7" w:tplc="080C0019" w:tentative="1">
      <w:start w:val="1"/>
      <w:numFmt w:val="lowerLetter"/>
      <w:lvlText w:val="%8."/>
      <w:lvlJc w:val="left"/>
      <w:pPr>
        <w:ind w:left="6546" w:hanging="360"/>
      </w:pPr>
      <w:rPr>
        <w:rFonts w:cs="Times New Roman"/>
      </w:rPr>
    </w:lvl>
    <w:lvl w:ilvl="8" w:tplc="080C001B" w:tentative="1">
      <w:start w:val="1"/>
      <w:numFmt w:val="lowerRoman"/>
      <w:lvlText w:val="%9."/>
      <w:lvlJc w:val="right"/>
      <w:pPr>
        <w:ind w:left="7266" w:hanging="180"/>
      </w:pPr>
      <w:rPr>
        <w:rFonts w:cs="Times New Roman"/>
      </w:rPr>
    </w:lvl>
  </w:abstractNum>
  <w:abstractNum w:abstractNumId="8" w15:restartNumberingAfterBreak="0">
    <w:nsid w:val="478C1099"/>
    <w:multiLevelType w:val="hybridMultilevel"/>
    <w:tmpl w:val="F2763DDA"/>
    <w:lvl w:ilvl="0" w:tplc="080C0015">
      <w:start w:val="1"/>
      <w:numFmt w:val="upperLetter"/>
      <w:lvlText w:val="%1."/>
      <w:lvlJc w:val="left"/>
      <w:pPr>
        <w:ind w:left="1506" w:hanging="360"/>
      </w:pPr>
      <w:rPr>
        <w:rFonts w:cs="Times New Roman" w:hint="default"/>
      </w:rPr>
    </w:lvl>
    <w:lvl w:ilvl="1" w:tplc="080C0019" w:tentative="1">
      <w:start w:val="1"/>
      <w:numFmt w:val="lowerLetter"/>
      <w:lvlText w:val="%2."/>
      <w:lvlJc w:val="left"/>
      <w:pPr>
        <w:ind w:left="2226" w:hanging="360"/>
      </w:pPr>
      <w:rPr>
        <w:rFonts w:cs="Times New Roman"/>
      </w:rPr>
    </w:lvl>
    <w:lvl w:ilvl="2" w:tplc="080C001B" w:tentative="1">
      <w:start w:val="1"/>
      <w:numFmt w:val="lowerRoman"/>
      <w:lvlText w:val="%3."/>
      <w:lvlJc w:val="right"/>
      <w:pPr>
        <w:ind w:left="2946" w:hanging="180"/>
      </w:pPr>
      <w:rPr>
        <w:rFonts w:cs="Times New Roman"/>
      </w:rPr>
    </w:lvl>
    <w:lvl w:ilvl="3" w:tplc="080C000F" w:tentative="1">
      <w:start w:val="1"/>
      <w:numFmt w:val="decimal"/>
      <w:lvlText w:val="%4."/>
      <w:lvlJc w:val="left"/>
      <w:pPr>
        <w:ind w:left="3666" w:hanging="360"/>
      </w:pPr>
      <w:rPr>
        <w:rFonts w:cs="Times New Roman"/>
      </w:rPr>
    </w:lvl>
    <w:lvl w:ilvl="4" w:tplc="080C0019" w:tentative="1">
      <w:start w:val="1"/>
      <w:numFmt w:val="lowerLetter"/>
      <w:lvlText w:val="%5."/>
      <w:lvlJc w:val="left"/>
      <w:pPr>
        <w:ind w:left="4386" w:hanging="360"/>
      </w:pPr>
      <w:rPr>
        <w:rFonts w:cs="Times New Roman"/>
      </w:rPr>
    </w:lvl>
    <w:lvl w:ilvl="5" w:tplc="080C001B" w:tentative="1">
      <w:start w:val="1"/>
      <w:numFmt w:val="lowerRoman"/>
      <w:lvlText w:val="%6."/>
      <w:lvlJc w:val="right"/>
      <w:pPr>
        <w:ind w:left="5106" w:hanging="180"/>
      </w:pPr>
      <w:rPr>
        <w:rFonts w:cs="Times New Roman"/>
      </w:rPr>
    </w:lvl>
    <w:lvl w:ilvl="6" w:tplc="080C000F" w:tentative="1">
      <w:start w:val="1"/>
      <w:numFmt w:val="decimal"/>
      <w:lvlText w:val="%7."/>
      <w:lvlJc w:val="left"/>
      <w:pPr>
        <w:ind w:left="5826" w:hanging="360"/>
      </w:pPr>
      <w:rPr>
        <w:rFonts w:cs="Times New Roman"/>
      </w:rPr>
    </w:lvl>
    <w:lvl w:ilvl="7" w:tplc="080C0019" w:tentative="1">
      <w:start w:val="1"/>
      <w:numFmt w:val="lowerLetter"/>
      <w:lvlText w:val="%8."/>
      <w:lvlJc w:val="left"/>
      <w:pPr>
        <w:ind w:left="6546" w:hanging="360"/>
      </w:pPr>
      <w:rPr>
        <w:rFonts w:cs="Times New Roman"/>
      </w:rPr>
    </w:lvl>
    <w:lvl w:ilvl="8" w:tplc="080C001B" w:tentative="1">
      <w:start w:val="1"/>
      <w:numFmt w:val="lowerRoman"/>
      <w:lvlText w:val="%9."/>
      <w:lvlJc w:val="right"/>
      <w:pPr>
        <w:ind w:left="7266" w:hanging="180"/>
      </w:pPr>
      <w:rPr>
        <w:rFonts w:cs="Times New Roman"/>
      </w:rPr>
    </w:lvl>
  </w:abstractNum>
  <w:abstractNum w:abstractNumId="9" w15:restartNumberingAfterBreak="0">
    <w:nsid w:val="48ED6195"/>
    <w:multiLevelType w:val="hybridMultilevel"/>
    <w:tmpl w:val="DEA01BD2"/>
    <w:lvl w:ilvl="0" w:tplc="080C0011">
      <w:start w:val="1"/>
      <w:numFmt w:val="decimal"/>
      <w:lvlText w:val="%1)"/>
      <w:lvlJc w:val="left"/>
      <w:pPr>
        <w:ind w:left="1440" w:hanging="360"/>
      </w:pPr>
      <w:rPr>
        <w:rFonts w:cs="Times New Roman" w:hint="default"/>
      </w:rPr>
    </w:lvl>
    <w:lvl w:ilvl="1" w:tplc="080C0003" w:tentative="1">
      <w:start w:val="1"/>
      <w:numFmt w:val="bullet"/>
      <w:lvlText w:val="o"/>
      <w:lvlJc w:val="left"/>
      <w:pPr>
        <w:ind w:left="2160" w:hanging="36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7"/>
  </w:num>
  <w:num w:numId="4">
    <w:abstractNumId w:val="8"/>
  </w:num>
  <w:num w:numId="5">
    <w:abstractNumId w:val="2"/>
  </w:num>
  <w:num w:numId="6">
    <w:abstractNumId w:val="5"/>
  </w:num>
  <w:num w:numId="7">
    <w:abstractNumId w:val="9"/>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0F"/>
    <w:rsid w:val="002B46C8"/>
    <w:rsid w:val="00694F7A"/>
    <w:rsid w:val="007240D5"/>
    <w:rsid w:val="00783D33"/>
    <w:rsid w:val="008A2B71"/>
    <w:rsid w:val="00927C62"/>
    <w:rsid w:val="00EF4994"/>
    <w:rsid w:val="00F851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9D2C2-E726-46D9-B6CD-5FAA7CFC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D33"/>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ame">
    <w:name w:val="Name"/>
    <w:basedOn w:val="Normal"/>
    <w:rsid w:val="00F8510F"/>
    <w:pPr>
      <w:suppressAutoHyphens/>
      <w:spacing w:before="1000" w:line="200" w:lineRule="exact"/>
      <w:jc w:val="center"/>
    </w:pPr>
    <w:rPr>
      <w:rFonts w:ascii="Times New Roman" w:eastAsia="Times New Roman" w:hAnsi="Times New Roman" w:cs="Times New Roman"/>
      <w:b/>
      <w:sz w:val="18"/>
      <w:szCs w:val="24"/>
      <w:lang w:val="en-US" w:eastAsia="ar-SA"/>
    </w:rPr>
  </w:style>
  <w:style w:type="paragraph" w:styleId="Paragraphedeliste">
    <w:name w:val="List Paragraph"/>
    <w:aliases w:val="Lettre d'introduction"/>
    <w:basedOn w:val="Normal"/>
    <w:link w:val="ParagraphedelisteCar"/>
    <w:uiPriority w:val="34"/>
    <w:qFormat/>
    <w:rsid w:val="00F8510F"/>
    <w:pPr>
      <w:ind w:left="720"/>
      <w:contextualSpacing/>
    </w:pPr>
    <w:rPr>
      <w:rFonts w:ascii="Calibri" w:eastAsia="Calibri" w:hAnsi="Calibri" w:cs="Times New Roman"/>
    </w:rPr>
  </w:style>
  <w:style w:type="paragraph" w:styleId="Notedebasdepage">
    <w:name w:val="footnote text"/>
    <w:basedOn w:val="Normal"/>
    <w:link w:val="NotedebasdepageCar"/>
    <w:uiPriority w:val="99"/>
    <w:semiHidden/>
    <w:rsid w:val="00F8510F"/>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F8510F"/>
    <w:rPr>
      <w:rFonts w:ascii="Calibri" w:eastAsia="Calibri" w:hAnsi="Calibri" w:cs="Times New Roman"/>
      <w:sz w:val="20"/>
      <w:szCs w:val="20"/>
      <w:lang w:val="fr-BE"/>
    </w:rPr>
  </w:style>
  <w:style w:type="character" w:styleId="Appelnotedebasdep">
    <w:name w:val="footnote reference"/>
    <w:basedOn w:val="Policepardfaut"/>
    <w:uiPriority w:val="99"/>
    <w:semiHidden/>
    <w:rsid w:val="00F8510F"/>
    <w:rPr>
      <w:rFonts w:cs="Times New Roman"/>
      <w:vertAlign w:val="superscript"/>
    </w:rPr>
  </w:style>
  <w:style w:type="paragraph" w:customStyle="1" w:styleId="Default">
    <w:name w:val="Default"/>
    <w:rsid w:val="00F8510F"/>
    <w:pPr>
      <w:autoSpaceDE w:val="0"/>
      <w:autoSpaceDN w:val="0"/>
      <w:adjustRightInd w:val="0"/>
      <w:spacing w:after="0" w:line="240" w:lineRule="auto"/>
    </w:pPr>
    <w:rPr>
      <w:rFonts w:ascii="Arial" w:eastAsia="Calibri" w:hAnsi="Arial" w:cs="Arial"/>
      <w:color w:val="000000"/>
      <w:sz w:val="24"/>
      <w:szCs w:val="24"/>
      <w:lang w:val="fr-BE"/>
    </w:rPr>
  </w:style>
  <w:style w:type="table" w:styleId="Grilledutableau">
    <w:name w:val="Table Grid"/>
    <w:basedOn w:val="TableauNormal"/>
    <w:uiPriority w:val="59"/>
    <w:rsid w:val="00F8510F"/>
    <w:pPr>
      <w:spacing w:after="0" w:line="240" w:lineRule="auto"/>
    </w:pPr>
    <w:rPr>
      <w:lang w:val="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Lettre d'introduction Car"/>
    <w:basedOn w:val="Policepardfaut"/>
    <w:link w:val="Paragraphedeliste"/>
    <w:uiPriority w:val="34"/>
    <w:locked/>
    <w:rsid w:val="00F8510F"/>
    <w:rPr>
      <w:rFonts w:ascii="Calibri" w:eastAsia="Calibri" w:hAnsi="Calibri" w:cs="Times New Roman"/>
      <w:lang w:val="fr-BE"/>
    </w:rPr>
  </w:style>
  <w:style w:type="paragraph" w:styleId="En-tte">
    <w:name w:val="header"/>
    <w:basedOn w:val="Normal"/>
    <w:link w:val="En-tteCar"/>
    <w:uiPriority w:val="99"/>
    <w:unhideWhenUsed/>
    <w:rsid w:val="00F8510F"/>
    <w:pPr>
      <w:tabs>
        <w:tab w:val="center" w:pos="4536"/>
        <w:tab w:val="right" w:pos="9072"/>
      </w:tabs>
      <w:spacing w:after="0" w:line="240" w:lineRule="auto"/>
    </w:pPr>
    <w:rPr>
      <w:rFonts w:ascii="Times" w:eastAsia="Times" w:hAnsi="Times" w:cs="Times New Roman"/>
      <w:sz w:val="24"/>
      <w:szCs w:val="20"/>
      <w:lang w:val="fr-FR" w:eastAsia="fr-FR"/>
    </w:rPr>
  </w:style>
  <w:style w:type="character" w:customStyle="1" w:styleId="En-tteCar">
    <w:name w:val="En-tête Car"/>
    <w:basedOn w:val="Policepardfaut"/>
    <w:link w:val="En-tte"/>
    <w:uiPriority w:val="99"/>
    <w:rsid w:val="00F8510F"/>
    <w:rPr>
      <w:rFonts w:ascii="Times" w:eastAsia="Times" w:hAnsi="Times" w:cs="Times New Roman"/>
      <w:sz w:val="24"/>
      <w:szCs w:val="20"/>
      <w:lang w:eastAsia="fr-FR"/>
    </w:rPr>
  </w:style>
  <w:style w:type="paragraph" w:customStyle="1" w:styleId="Tabletextleft">
    <w:name w:val="Table_text_left"/>
    <w:basedOn w:val="Normal"/>
    <w:rsid w:val="00783D33"/>
    <w:pPr>
      <w:suppressAutoHyphens/>
      <w:spacing w:line="200" w:lineRule="exact"/>
    </w:pPr>
    <w:rPr>
      <w:rFonts w:ascii="Times New Roman" w:eastAsia="Times New Roman" w:hAnsi="Times New Roman" w:cs="Times New Roman"/>
      <w:sz w:val="18"/>
      <w:szCs w:val="24"/>
      <w:lang w:val="en-US" w:eastAsia="ar-SA"/>
    </w:rPr>
  </w:style>
  <w:style w:type="paragraph" w:customStyle="1" w:styleId="Tabletextleftbold">
    <w:name w:val="Table_text_left_bold"/>
    <w:basedOn w:val="Normal"/>
    <w:uiPriority w:val="99"/>
    <w:rsid w:val="00783D33"/>
    <w:pPr>
      <w:suppressAutoHyphens/>
      <w:spacing w:line="200" w:lineRule="exact"/>
    </w:pPr>
    <w:rPr>
      <w:rFonts w:ascii="Times New Roman" w:eastAsia="Times New Roman" w:hAnsi="Times New Roman" w:cs="Times New Roman"/>
      <w:b/>
      <w:sz w:val="18"/>
      <w:szCs w:val="24"/>
      <w:lang w:val="en-US" w:eastAsia="ar-SA"/>
    </w:rPr>
  </w:style>
  <w:style w:type="paragraph" w:styleId="Pieddepage">
    <w:name w:val="footer"/>
    <w:basedOn w:val="Normal"/>
    <w:link w:val="PieddepageCar"/>
    <w:uiPriority w:val="99"/>
    <w:rsid w:val="00783D33"/>
    <w:pPr>
      <w:tabs>
        <w:tab w:val="center" w:pos="4536"/>
        <w:tab w:val="right" w:pos="9072"/>
      </w:tabs>
      <w:spacing w:after="0" w:line="240" w:lineRule="auto"/>
    </w:pPr>
    <w:rPr>
      <w:rFonts w:ascii="Calibri" w:eastAsia="Calibri" w:hAnsi="Calibri" w:cs="Times New Roman"/>
    </w:rPr>
  </w:style>
  <w:style w:type="character" w:customStyle="1" w:styleId="PieddepageCar">
    <w:name w:val="Pied de page Car"/>
    <w:basedOn w:val="Policepardfaut"/>
    <w:link w:val="Pieddepage"/>
    <w:uiPriority w:val="99"/>
    <w:rsid w:val="00783D33"/>
    <w:rPr>
      <w:rFonts w:ascii="Calibri" w:eastAsia="Calibri" w:hAnsi="Calibri" w:cs="Times New Roman"/>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2620</Words>
  <Characters>14415</Characters>
  <Application>Microsoft Office Word</Application>
  <DocSecurity>4</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BE-LB</Company>
  <LinksUpToDate>false</LinksUpToDate>
  <CharactersWithSpaces>17001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DOMB</dc:creator>
  <cp:keywords/>
  <dc:description/>
  <cp:lastModifiedBy>Laetitia DOMB</cp:lastModifiedBy>
  <cp:revision>2</cp:revision>
  <dcterms:created xsi:type="dcterms:W3CDTF">2019-06-18T12:19:00Z</dcterms:created>
  <dcterms:modified xsi:type="dcterms:W3CDTF">2019-06-18T12:19:00Z</dcterms:modified>
</cp:coreProperties>
</file>