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052B2" w14:textId="6ABB2134" w:rsidR="00900254" w:rsidRPr="0029001A" w:rsidRDefault="00900254" w:rsidP="00900254">
      <w:pPr>
        <w:pStyle w:val="Standard"/>
        <w:rPr>
          <w:b/>
          <w:u w:val="single"/>
          <w:lang w:val="fr-BE"/>
        </w:rPr>
      </w:pPr>
    </w:p>
    <w:p w14:paraId="5BF15E97" w14:textId="50A675C3" w:rsidR="00900254" w:rsidRDefault="00900254" w:rsidP="00900254">
      <w:pPr>
        <w:pStyle w:val="Standard"/>
        <w:ind w:left="1416" w:firstLine="708"/>
        <w:rPr>
          <w:b/>
          <w:u w:val="single"/>
          <w:lang w:val="fr-BE"/>
        </w:rPr>
      </w:pPr>
      <w:r w:rsidRPr="0029001A">
        <w:rPr>
          <w:b/>
          <w:u w:val="single"/>
          <w:lang w:val="fr-BE"/>
        </w:rPr>
        <w:t>Liste des activités à risque</w:t>
      </w:r>
      <w:r w:rsidR="003D427D">
        <w:rPr>
          <w:b/>
          <w:u w:val="single"/>
          <w:lang w:val="fr-BE"/>
        </w:rPr>
        <w:t xml:space="preserve"> (version consolidée 2023)</w:t>
      </w:r>
      <w:r w:rsidRPr="0029001A">
        <w:rPr>
          <w:b/>
          <w:lang w:val="fr-BE"/>
        </w:rPr>
        <w:t xml:space="preserve"> </w:t>
      </w:r>
      <w:r w:rsidRPr="0029001A">
        <w:rPr>
          <w:b/>
          <w:lang w:val="fr-BE"/>
        </w:rPr>
        <w:tab/>
      </w:r>
      <w:r w:rsidRPr="0029001A">
        <w:rPr>
          <w:b/>
          <w:lang w:val="fr-BE"/>
        </w:rPr>
        <w:tab/>
      </w:r>
      <w:r w:rsidRPr="0029001A">
        <w:rPr>
          <w:b/>
          <w:lang w:val="fr-BE"/>
        </w:rPr>
        <w:tab/>
      </w:r>
      <w:r w:rsidRPr="0029001A">
        <w:rPr>
          <w:b/>
          <w:lang w:val="fr-BE"/>
        </w:rPr>
        <w:tab/>
      </w:r>
      <w:proofErr w:type="spellStart"/>
      <w:r w:rsidRPr="0029001A">
        <w:rPr>
          <w:b/>
          <w:u w:val="single"/>
          <w:lang w:val="fr-BE"/>
        </w:rPr>
        <w:t>Lijst</w:t>
      </w:r>
      <w:proofErr w:type="spellEnd"/>
      <w:r w:rsidRPr="0029001A">
        <w:rPr>
          <w:b/>
          <w:u w:val="single"/>
          <w:lang w:val="fr-BE"/>
        </w:rPr>
        <w:t xml:space="preserve"> van de </w:t>
      </w:r>
      <w:proofErr w:type="spellStart"/>
      <w:r w:rsidRPr="0029001A">
        <w:rPr>
          <w:b/>
          <w:u w:val="single"/>
          <w:lang w:val="fr-BE"/>
        </w:rPr>
        <w:t>risicoactiviteiten</w:t>
      </w:r>
      <w:proofErr w:type="spellEnd"/>
      <w:r w:rsidR="003D427D">
        <w:rPr>
          <w:b/>
          <w:u w:val="single"/>
          <w:lang w:val="fr-BE"/>
        </w:rPr>
        <w:t xml:space="preserve"> (</w:t>
      </w:r>
      <w:proofErr w:type="spellStart"/>
      <w:r w:rsidR="003D427D">
        <w:rPr>
          <w:b/>
          <w:u w:val="single"/>
          <w:lang w:val="fr-BE"/>
        </w:rPr>
        <w:t>geconsolideerde</w:t>
      </w:r>
      <w:proofErr w:type="spellEnd"/>
      <w:r w:rsidR="003D427D">
        <w:rPr>
          <w:b/>
          <w:u w:val="single"/>
          <w:lang w:val="fr-BE"/>
        </w:rPr>
        <w:t xml:space="preserve"> </w:t>
      </w:r>
      <w:proofErr w:type="spellStart"/>
      <w:r w:rsidR="003D427D">
        <w:rPr>
          <w:b/>
          <w:u w:val="single"/>
          <w:lang w:val="fr-BE"/>
        </w:rPr>
        <w:t>versie</w:t>
      </w:r>
      <w:proofErr w:type="spellEnd"/>
      <w:r w:rsidR="003D427D">
        <w:rPr>
          <w:b/>
          <w:u w:val="single"/>
          <w:lang w:val="fr-BE"/>
        </w:rPr>
        <w:t xml:space="preserve"> 2023)</w:t>
      </w:r>
    </w:p>
    <w:p w14:paraId="1E12CE78" w14:textId="77777777" w:rsidR="00900254" w:rsidRPr="0029001A" w:rsidRDefault="00900254" w:rsidP="00900254">
      <w:pPr>
        <w:pStyle w:val="Standard"/>
        <w:ind w:left="1416" w:firstLine="708"/>
        <w:rPr>
          <w:b/>
          <w:u w:val="single"/>
          <w:lang w:val="fr-BE"/>
        </w:rPr>
      </w:pPr>
    </w:p>
    <w:tbl>
      <w:tblPr>
        <w:tblW w:w="14449" w:type="dxa"/>
        <w:jc w:val="center"/>
        <w:tblCellMar>
          <w:left w:w="70" w:type="dxa"/>
          <w:right w:w="70" w:type="dxa"/>
        </w:tblCellMar>
        <w:tblLook w:val="04A0" w:firstRow="1" w:lastRow="0" w:firstColumn="1" w:lastColumn="0" w:noHBand="0" w:noVBand="1"/>
      </w:tblPr>
      <w:tblGrid>
        <w:gridCol w:w="702"/>
        <w:gridCol w:w="3756"/>
        <w:gridCol w:w="3754"/>
        <w:gridCol w:w="567"/>
        <w:gridCol w:w="2835"/>
        <w:gridCol w:w="2835"/>
      </w:tblGrid>
      <w:tr w:rsidR="00F63922" w:rsidRPr="009E2D9F" w14:paraId="0E93D2B7" w14:textId="77777777" w:rsidTr="00DB01CF">
        <w:trPr>
          <w:trHeight w:val="300"/>
          <w:jc w:val="center"/>
        </w:trPr>
        <w:tc>
          <w:tcPr>
            <w:tcW w:w="0" w:type="auto"/>
            <w:vMerge w:val="restart"/>
            <w:tcBorders>
              <w:top w:val="single" w:sz="8" w:space="0" w:color="auto"/>
              <w:left w:val="single" w:sz="8" w:space="0" w:color="auto"/>
              <w:right w:val="single" w:sz="4" w:space="0" w:color="auto"/>
            </w:tcBorders>
            <w:shd w:val="clear" w:color="000000" w:fill="A6A6A6"/>
            <w:vAlign w:val="center"/>
            <w:hideMark/>
          </w:tcPr>
          <w:p w14:paraId="409ED1DC" w14:textId="3B66F562" w:rsidR="00F63922" w:rsidRDefault="00F63922" w:rsidP="009E2D9F">
            <w:pPr>
              <w:spacing w:after="0" w:line="240" w:lineRule="auto"/>
              <w:jc w:val="center"/>
              <w:rPr>
                <w:rFonts w:ascii="Arial" w:eastAsia="Times New Roman" w:hAnsi="Arial" w:cs="Arial"/>
                <w:b/>
                <w:bCs/>
                <w:sz w:val="16"/>
                <w:szCs w:val="16"/>
                <w:lang w:eastAsia="fr-BE"/>
              </w:rPr>
            </w:pPr>
            <w:bookmarkStart w:id="0" w:name="RANGE!A1"/>
            <w:r w:rsidRPr="009E2D9F">
              <w:rPr>
                <w:rFonts w:ascii="Arial" w:eastAsia="Times New Roman" w:hAnsi="Arial" w:cs="Arial"/>
                <w:b/>
                <w:bCs/>
                <w:sz w:val="16"/>
                <w:szCs w:val="16"/>
                <w:lang w:eastAsia="fr-BE"/>
              </w:rPr>
              <w:t>N° Rub</w:t>
            </w:r>
            <w:bookmarkEnd w:id="0"/>
          </w:p>
          <w:p w14:paraId="77E08E43" w14:textId="77777777" w:rsidR="00F63922" w:rsidRPr="009E2D9F" w:rsidRDefault="00F63922" w:rsidP="009E2D9F">
            <w:pPr>
              <w:spacing w:after="0" w:line="240" w:lineRule="auto"/>
              <w:jc w:val="center"/>
              <w:rPr>
                <w:rFonts w:ascii="Arial" w:eastAsia="Times New Roman" w:hAnsi="Arial" w:cs="Arial"/>
                <w:b/>
                <w:bCs/>
                <w:sz w:val="16"/>
                <w:szCs w:val="16"/>
                <w:lang w:eastAsia="fr-BE"/>
              </w:rPr>
            </w:pPr>
          </w:p>
          <w:p w14:paraId="5FFF9AD1" w14:textId="77777777" w:rsidR="00F63922" w:rsidRPr="009E2D9F" w:rsidRDefault="00F63922" w:rsidP="009E2D9F">
            <w:pPr>
              <w:spacing w:after="0" w:line="240" w:lineRule="auto"/>
              <w:jc w:val="center"/>
              <w:rPr>
                <w:rFonts w:ascii="Arial" w:eastAsia="Times New Roman" w:hAnsi="Arial" w:cs="Arial"/>
                <w:b/>
                <w:bCs/>
                <w:sz w:val="16"/>
                <w:szCs w:val="16"/>
                <w:lang w:eastAsia="fr-BE"/>
              </w:rPr>
            </w:pPr>
            <w:proofErr w:type="spellStart"/>
            <w:r w:rsidRPr="009E2D9F">
              <w:rPr>
                <w:rFonts w:ascii="Arial" w:eastAsia="Times New Roman" w:hAnsi="Arial" w:cs="Arial"/>
                <w:b/>
                <w:bCs/>
                <w:sz w:val="16"/>
                <w:szCs w:val="16"/>
                <w:lang w:eastAsia="fr-BE"/>
              </w:rPr>
              <w:t>RubNr</w:t>
            </w:r>
            <w:proofErr w:type="spellEnd"/>
          </w:p>
          <w:p w14:paraId="6BB5CFFB" w14:textId="6BE326D4" w:rsidR="00F63922" w:rsidRPr="009E2D9F" w:rsidRDefault="00F63922"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sz w:val="16"/>
                <w:szCs w:val="16"/>
                <w:lang w:eastAsia="fr-BE"/>
              </w:rPr>
              <w:t> </w:t>
            </w:r>
          </w:p>
        </w:tc>
        <w:tc>
          <w:tcPr>
            <w:tcW w:w="3756" w:type="dxa"/>
            <w:vMerge w:val="restart"/>
            <w:tcBorders>
              <w:top w:val="single" w:sz="8" w:space="0" w:color="auto"/>
              <w:left w:val="nil"/>
              <w:bottom w:val="nil"/>
              <w:right w:val="nil"/>
            </w:tcBorders>
            <w:shd w:val="clear" w:color="000000" w:fill="A6A6A6"/>
            <w:vAlign w:val="center"/>
            <w:hideMark/>
          </w:tcPr>
          <w:p w14:paraId="3790EF10" w14:textId="77777777" w:rsidR="00F63922" w:rsidRPr="009E2D9F" w:rsidRDefault="00F63922"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Dénomination</w:t>
            </w:r>
          </w:p>
        </w:tc>
        <w:tc>
          <w:tcPr>
            <w:tcW w:w="3754" w:type="dxa"/>
            <w:vMerge w:val="restart"/>
            <w:tcBorders>
              <w:top w:val="single" w:sz="8" w:space="0" w:color="auto"/>
              <w:left w:val="single" w:sz="4" w:space="0" w:color="auto"/>
              <w:bottom w:val="nil"/>
              <w:right w:val="single" w:sz="4" w:space="0" w:color="auto"/>
            </w:tcBorders>
            <w:shd w:val="clear" w:color="000000" w:fill="A6A6A6"/>
            <w:vAlign w:val="center"/>
            <w:hideMark/>
          </w:tcPr>
          <w:p w14:paraId="4E301845" w14:textId="77777777" w:rsidR="00F63922" w:rsidRPr="009E2D9F" w:rsidRDefault="00F63922" w:rsidP="009E2D9F">
            <w:pPr>
              <w:spacing w:after="0" w:line="240" w:lineRule="auto"/>
              <w:jc w:val="center"/>
              <w:rPr>
                <w:rFonts w:ascii="Arial" w:eastAsia="Times New Roman" w:hAnsi="Arial" w:cs="Arial"/>
                <w:b/>
                <w:bCs/>
                <w:sz w:val="16"/>
                <w:szCs w:val="16"/>
                <w:lang w:eastAsia="fr-BE"/>
              </w:rPr>
            </w:pPr>
            <w:proofErr w:type="spellStart"/>
            <w:r w:rsidRPr="009E2D9F">
              <w:rPr>
                <w:rFonts w:ascii="Arial" w:eastAsia="Times New Roman" w:hAnsi="Arial" w:cs="Arial"/>
                <w:b/>
                <w:bCs/>
                <w:sz w:val="16"/>
                <w:szCs w:val="16"/>
                <w:lang w:eastAsia="fr-BE"/>
              </w:rPr>
              <w:t>Benamingen</w:t>
            </w:r>
            <w:proofErr w:type="spellEnd"/>
          </w:p>
        </w:tc>
        <w:tc>
          <w:tcPr>
            <w:tcW w:w="567" w:type="dxa"/>
            <w:tcBorders>
              <w:top w:val="single" w:sz="8" w:space="0" w:color="auto"/>
              <w:left w:val="nil"/>
              <w:bottom w:val="nil"/>
              <w:right w:val="nil"/>
            </w:tcBorders>
            <w:shd w:val="clear" w:color="000000" w:fill="A6A6A6"/>
            <w:vAlign w:val="center"/>
            <w:hideMark/>
          </w:tcPr>
          <w:p w14:paraId="261FF8A4" w14:textId="77777777" w:rsidR="00F63922" w:rsidRPr="009E2D9F" w:rsidRDefault="00F63922"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Cl</w:t>
            </w:r>
          </w:p>
        </w:tc>
        <w:tc>
          <w:tcPr>
            <w:tcW w:w="2835" w:type="dxa"/>
            <w:vMerge w:val="restart"/>
            <w:tcBorders>
              <w:top w:val="single" w:sz="8" w:space="0" w:color="auto"/>
              <w:left w:val="single" w:sz="4" w:space="0" w:color="auto"/>
              <w:right w:val="single" w:sz="4" w:space="0" w:color="auto"/>
            </w:tcBorders>
            <w:shd w:val="clear" w:color="000000" w:fill="A6A6A6"/>
            <w:vAlign w:val="center"/>
            <w:hideMark/>
          </w:tcPr>
          <w:p w14:paraId="117F3421" w14:textId="77777777" w:rsidR="00F63922" w:rsidRPr="009E2D9F" w:rsidRDefault="00F63922"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Limitations</w:t>
            </w:r>
          </w:p>
          <w:p w14:paraId="339282CC" w14:textId="57FF8198" w:rsidR="00F63922" w:rsidRPr="009E2D9F" w:rsidRDefault="00F63922"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 </w:t>
            </w:r>
          </w:p>
        </w:tc>
        <w:tc>
          <w:tcPr>
            <w:tcW w:w="2835" w:type="dxa"/>
            <w:vMerge w:val="restart"/>
            <w:tcBorders>
              <w:top w:val="single" w:sz="8" w:space="0" w:color="auto"/>
              <w:left w:val="nil"/>
              <w:bottom w:val="single" w:sz="4" w:space="0" w:color="auto"/>
              <w:right w:val="single" w:sz="4" w:space="0" w:color="auto"/>
            </w:tcBorders>
            <w:shd w:val="clear" w:color="000000" w:fill="A6A6A6"/>
            <w:vAlign w:val="center"/>
            <w:hideMark/>
          </w:tcPr>
          <w:p w14:paraId="7D1F3A61" w14:textId="77777777" w:rsidR="00F63922" w:rsidRPr="009E2D9F" w:rsidRDefault="00F63922" w:rsidP="009E2D9F">
            <w:pPr>
              <w:spacing w:after="0" w:line="240" w:lineRule="auto"/>
              <w:jc w:val="center"/>
              <w:rPr>
                <w:rFonts w:ascii="Arial" w:eastAsia="Times New Roman" w:hAnsi="Arial" w:cs="Arial"/>
                <w:b/>
                <w:bCs/>
                <w:sz w:val="16"/>
                <w:szCs w:val="16"/>
                <w:lang w:eastAsia="fr-BE"/>
              </w:rPr>
            </w:pPr>
            <w:proofErr w:type="spellStart"/>
            <w:r w:rsidRPr="009E2D9F">
              <w:rPr>
                <w:rFonts w:ascii="Arial" w:eastAsia="Times New Roman" w:hAnsi="Arial" w:cs="Arial"/>
                <w:b/>
                <w:bCs/>
                <w:sz w:val="16"/>
                <w:szCs w:val="16"/>
                <w:lang w:eastAsia="fr-BE"/>
              </w:rPr>
              <w:t>Beperkingen</w:t>
            </w:r>
            <w:proofErr w:type="spellEnd"/>
          </w:p>
          <w:p w14:paraId="16B09012" w14:textId="320F8FD4" w:rsidR="00F63922" w:rsidRPr="009E2D9F" w:rsidRDefault="00F63922"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 </w:t>
            </w:r>
          </w:p>
        </w:tc>
      </w:tr>
      <w:tr w:rsidR="00F63922" w:rsidRPr="009E2D9F" w14:paraId="7455E1CE" w14:textId="77777777" w:rsidTr="00DB01CF">
        <w:trPr>
          <w:trHeight w:val="300"/>
          <w:jc w:val="center"/>
        </w:trPr>
        <w:tc>
          <w:tcPr>
            <w:tcW w:w="0" w:type="auto"/>
            <w:vMerge/>
            <w:tcBorders>
              <w:left w:val="single" w:sz="8" w:space="0" w:color="auto"/>
              <w:bottom w:val="nil"/>
              <w:right w:val="single" w:sz="4" w:space="0" w:color="auto"/>
            </w:tcBorders>
            <w:shd w:val="clear" w:color="000000" w:fill="A6A6A6"/>
            <w:noWrap/>
            <w:vAlign w:val="center"/>
            <w:hideMark/>
          </w:tcPr>
          <w:p w14:paraId="58077798" w14:textId="3CBDFF80" w:rsidR="00F63922" w:rsidRPr="009E2D9F" w:rsidRDefault="00F63922" w:rsidP="009E2D9F">
            <w:pPr>
              <w:spacing w:after="0" w:line="240" w:lineRule="auto"/>
              <w:jc w:val="center"/>
              <w:rPr>
                <w:rFonts w:ascii="Arial" w:eastAsia="Times New Roman" w:hAnsi="Arial" w:cs="Arial"/>
                <w:sz w:val="16"/>
                <w:szCs w:val="16"/>
                <w:lang w:eastAsia="fr-BE"/>
              </w:rPr>
            </w:pPr>
          </w:p>
        </w:tc>
        <w:tc>
          <w:tcPr>
            <w:tcW w:w="3756" w:type="dxa"/>
            <w:vMerge/>
            <w:tcBorders>
              <w:top w:val="single" w:sz="8" w:space="0" w:color="auto"/>
              <w:left w:val="nil"/>
              <w:bottom w:val="nil"/>
              <w:right w:val="nil"/>
            </w:tcBorders>
            <w:vAlign w:val="center"/>
            <w:hideMark/>
          </w:tcPr>
          <w:p w14:paraId="29BAE757" w14:textId="77777777" w:rsidR="00F63922" w:rsidRPr="009E2D9F" w:rsidRDefault="00F63922" w:rsidP="009E2D9F">
            <w:pPr>
              <w:spacing w:after="0" w:line="240" w:lineRule="auto"/>
              <w:rPr>
                <w:rFonts w:ascii="Arial" w:eastAsia="Times New Roman" w:hAnsi="Arial" w:cs="Arial"/>
                <w:b/>
                <w:bCs/>
                <w:sz w:val="16"/>
                <w:szCs w:val="16"/>
                <w:lang w:eastAsia="fr-BE"/>
              </w:rPr>
            </w:pPr>
          </w:p>
        </w:tc>
        <w:tc>
          <w:tcPr>
            <w:tcW w:w="3754" w:type="dxa"/>
            <w:vMerge/>
            <w:tcBorders>
              <w:top w:val="single" w:sz="8" w:space="0" w:color="auto"/>
              <w:left w:val="single" w:sz="4" w:space="0" w:color="auto"/>
              <w:bottom w:val="nil"/>
              <w:right w:val="single" w:sz="4" w:space="0" w:color="auto"/>
            </w:tcBorders>
            <w:vAlign w:val="center"/>
            <w:hideMark/>
          </w:tcPr>
          <w:p w14:paraId="0249BA4B" w14:textId="77777777" w:rsidR="00F63922" w:rsidRPr="009E2D9F" w:rsidRDefault="00F63922" w:rsidP="009E2D9F">
            <w:pPr>
              <w:spacing w:after="0" w:line="240" w:lineRule="auto"/>
              <w:rPr>
                <w:rFonts w:ascii="Arial" w:eastAsia="Times New Roman" w:hAnsi="Arial" w:cs="Arial"/>
                <w:b/>
                <w:bCs/>
                <w:sz w:val="16"/>
                <w:szCs w:val="16"/>
                <w:lang w:eastAsia="fr-BE"/>
              </w:rPr>
            </w:pPr>
          </w:p>
        </w:tc>
        <w:tc>
          <w:tcPr>
            <w:tcW w:w="567" w:type="dxa"/>
            <w:tcBorders>
              <w:top w:val="nil"/>
              <w:left w:val="nil"/>
              <w:bottom w:val="nil"/>
              <w:right w:val="nil"/>
            </w:tcBorders>
            <w:shd w:val="clear" w:color="000000" w:fill="A6A6A6"/>
            <w:vAlign w:val="center"/>
            <w:hideMark/>
          </w:tcPr>
          <w:p w14:paraId="617C7FDF" w14:textId="77777777" w:rsidR="00F63922" w:rsidRPr="009E2D9F" w:rsidRDefault="00F63922"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Kl</w:t>
            </w:r>
          </w:p>
        </w:tc>
        <w:tc>
          <w:tcPr>
            <w:tcW w:w="2835" w:type="dxa"/>
            <w:vMerge/>
            <w:tcBorders>
              <w:left w:val="single" w:sz="4" w:space="0" w:color="auto"/>
              <w:bottom w:val="nil"/>
              <w:right w:val="single" w:sz="4" w:space="0" w:color="auto"/>
            </w:tcBorders>
            <w:shd w:val="clear" w:color="000000" w:fill="A6A6A6"/>
            <w:vAlign w:val="center"/>
            <w:hideMark/>
          </w:tcPr>
          <w:p w14:paraId="004289CD" w14:textId="25323099" w:rsidR="00F63922" w:rsidRPr="009E2D9F" w:rsidRDefault="00F63922" w:rsidP="009E2D9F">
            <w:pPr>
              <w:spacing w:after="0" w:line="240" w:lineRule="auto"/>
              <w:jc w:val="center"/>
              <w:rPr>
                <w:rFonts w:ascii="Arial" w:eastAsia="Times New Roman" w:hAnsi="Arial" w:cs="Arial"/>
                <w:b/>
                <w:bCs/>
                <w:sz w:val="16"/>
                <w:szCs w:val="16"/>
                <w:lang w:eastAsia="fr-BE"/>
              </w:rPr>
            </w:pPr>
          </w:p>
        </w:tc>
        <w:tc>
          <w:tcPr>
            <w:tcW w:w="2835" w:type="dxa"/>
            <w:vMerge/>
            <w:tcBorders>
              <w:left w:val="nil"/>
              <w:bottom w:val="single" w:sz="4" w:space="0" w:color="auto"/>
              <w:right w:val="single" w:sz="4" w:space="0" w:color="auto"/>
            </w:tcBorders>
            <w:shd w:val="clear" w:color="000000" w:fill="A6A6A6"/>
            <w:vAlign w:val="center"/>
            <w:hideMark/>
          </w:tcPr>
          <w:p w14:paraId="13AD244A" w14:textId="52901916" w:rsidR="00F63922" w:rsidRPr="009E2D9F" w:rsidRDefault="00F63922" w:rsidP="009E2D9F">
            <w:pPr>
              <w:spacing w:after="0" w:line="240" w:lineRule="auto"/>
              <w:jc w:val="center"/>
              <w:rPr>
                <w:rFonts w:ascii="Arial" w:eastAsia="Times New Roman" w:hAnsi="Arial" w:cs="Arial"/>
                <w:b/>
                <w:bCs/>
                <w:sz w:val="16"/>
                <w:szCs w:val="16"/>
                <w:lang w:eastAsia="fr-BE"/>
              </w:rPr>
            </w:pPr>
          </w:p>
        </w:tc>
      </w:tr>
      <w:tr w:rsidR="009E2D9F" w:rsidRPr="009E2D9F" w14:paraId="54804D21" w14:textId="77777777" w:rsidTr="00DB01CF">
        <w:trPr>
          <w:trHeight w:val="2244"/>
          <w:jc w:val="center"/>
        </w:trPr>
        <w:tc>
          <w:tcPr>
            <w:tcW w:w="0" w:type="auto"/>
            <w:tcBorders>
              <w:top w:val="single" w:sz="4" w:space="0" w:color="auto"/>
              <w:left w:val="single" w:sz="8" w:space="0" w:color="auto"/>
              <w:bottom w:val="nil"/>
              <w:right w:val="single" w:sz="4" w:space="0" w:color="auto"/>
            </w:tcBorders>
            <w:shd w:val="clear" w:color="000000" w:fill="92D050"/>
            <w:vAlign w:val="center"/>
            <w:hideMark/>
          </w:tcPr>
          <w:p w14:paraId="1DC48984"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200</w:t>
            </w:r>
          </w:p>
        </w:tc>
        <w:tc>
          <w:tcPr>
            <w:tcW w:w="3756" w:type="dxa"/>
            <w:tcBorders>
              <w:top w:val="single" w:sz="4" w:space="0" w:color="auto"/>
              <w:left w:val="nil"/>
              <w:bottom w:val="nil"/>
              <w:right w:val="nil"/>
            </w:tcBorders>
            <w:shd w:val="clear" w:color="000000" w:fill="99FF99"/>
            <w:vAlign w:val="center"/>
            <w:hideMark/>
          </w:tcPr>
          <w:p w14:paraId="785E4518"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Production de fonte ou (fusion primaire ou secondaire), y compris par coulée continue avec une capacité de plus de 2,5 tonnes par heures ;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xml:space="preserve">Production de métaux bruts non ferreux à partir de minerais, de concentrés ou de matières premières secondaires par procédés </w:t>
            </w:r>
            <w:proofErr w:type="spellStart"/>
            <w:r w:rsidRPr="009E2D9F">
              <w:rPr>
                <w:rFonts w:ascii="Arial" w:eastAsia="Times New Roman" w:hAnsi="Arial" w:cs="Arial"/>
                <w:sz w:val="16"/>
                <w:szCs w:val="16"/>
                <w:lang w:eastAsia="fr-BE"/>
              </w:rPr>
              <w:t>mettallurgiques</w:t>
            </w:r>
            <w:proofErr w:type="spellEnd"/>
            <w:r w:rsidRPr="009E2D9F">
              <w:rPr>
                <w:rFonts w:ascii="Arial" w:eastAsia="Times New Roman" w:hAnsi="Arial" w:cs="Arial"/>
                <w:sz w:val="16"/>
                <w:szCs w:val="16"/>
                <w:lang w:eastAsia="fr-BE"/>
              </w:rPr>
              <w:t>, chimiques ou électrolytiques;</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Fusion, y compris alliage, de métaux non ferreux incluant les produits de récupération et exploitation de fonderies de métaux non ferreux, avec une capacité de fusion supérieure à 4 tonnes par jour pour le plomb et le cadmium ou à 20 tonnes par jour pour tous les autres métaux</w:t>
            </w:r>
          </w:p>
        </w:tc>
        <w:tc>
          <w:tcPr>
            <w:tcW w:w="3754" w:type="dxa"/>
            <w:tcBorders>
              <w:top w:val="single" w:sz="4" w:space="0" w:color="auto"/>
              <w:left w:val="single" w:sz="4" w:space="0" w:color="auto"/>
              <w:bottom w:val="nil"/>
              <w:right w:val="single" w:sz="4" w:space="0" w:color="auto"/>
            </w:tcBorders>
            <w:shd w:val="clear" w:color="000000" w:fill="99FF99"/>
            <w:vAlign w:val="center"/>
            <w:hideMark/>
          </w:tcPr>
          <w:p w14:paraId="34D4AC44" w14:textId="77777777" w:rsid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Productie van gietijzer (primaire of secundaire smelting), met inbegrip van continugieten met een capaciteit van meer dan 2,5 ton per uur;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Productie van ruwe non-ferrometalen uit erts of concentraat of secundaire grondstoffen met metallurgische, chemische of elektrolytische procedés;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Smelting, inclusief legering, van non-ferrometalen met inbegrip van terugwinningsproducten en uitbating van gieterijen voor non-ferrometalen met een capaciteit van meer dan 4 ton per dag voor lood en cadmium of meer dan 20 ton per dag voor alle andere metalen</w:t>
            </w:r>
          </w:p>
          <w:p w14:paraId="538DA606" w14:textId="7CBE8A83" w:rsidR="00F63922" w:rsidRPr="009E2D9F" w:rsidRDefault="00F63922" w:rsidP="009E2D9F">
            <w:pPr>
              <w:spacing w:after="0" w:line="240" w:lineRule="auto"/>
              <w:rPr>
                <w:rFonts w:ascii="Arial" w:eastAsia="Times New Roman" w:hAnsi="Arial" w:cs="Arial"/>
                <w:sz w:val="16"/>
                <w:szCs w:val="16"/>
                <w:lang w:val="nl-BE" w:eastAsia="fr-BE"/>
              </w:rPr>
            </w:pPr>
          </w:p>
        </w:tc>
        <w:tc>
          <w:tcPr>
            <w:tcW w:w="567" w:type="dxa"/>
            <w:tcBorders>
              <w:top w:val="single" w:sz="4" w:space="0" w:color="auto"/>
              <w:left w:val="nil"/>
              <w:bottom w:val="nil"/>
              <w:right w:val="nil"/>
            </w:tcBorders>
            <w:shd w:val="clear" w:color="000000" w:fill="99FF99"/>
            <w:vAlign w:val="center"/>
            <w:hideMark/>
          </w:tcPr>
          <w:p w14:paraId="7C271B34"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single" w:sz="4" w:space="0" w:color="auto"/>
              <w:left w:val="single" w:sz="4" w:space="0" w:color="auto"/>
              <w:bottom w:val="nil"/>
              <w:right w:val="single" w:sz="4" w:space="0" w:color="auto"/>
            </w:tcBorders>
            <w:shd w:val="clear" w:color="000000" w:fill="CCFFCC"/>
            <w:vAlign w:val="center"/>
            <w:hideMark/>
          </w:tcPr>
          <w:p w14:paraId="034B90B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single" w:sz="4" w:space="0" w:color="auto"/>
              <w:left w:val="nil"/>
              <w:bottom w:val="nil"/>
              <w:right w:val="single" w:sz="8" w:space="0" w:color="auto"/>
            </w:tcBorders>
            <w:shd w:val="clear" w:color="000000" w:fill="CCFFCC"/>
            <w:vAlign w:val="center"/>
            <w:hideMark/>
          </w:tcPr>
          <w:p w14:paraId="04FC0CB6"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9E2D9F" w14:paraId="60120BBB" w14:textId="77777777" w:rsidTr="00F63922">
        <w:trPr>
          <w:trHeight w:val="408"/>
          <w:jc w:val="center"/>
        </w:trPr>
        <w:tc>
          <w:tcPr>
            <w:tcW w:w="0" w:type="auto"/>
            <w:tcBorders>
              <w:top w:val="single" w:sz="4" w:space="0" w:color="auto"/>
              <w:left w:val="single" w:sz="8" w:space="0" w:color="auto"/>
              <w:bottom w:val="single" w:sz="4" w:space="0" w:color="auto"/>
              <w:right w:val="single" w:sz="4" w:space="0" w:color="auto"/>
            </w:tcBorders>
            <w:shd w:val="clear" w:color="000000" w:fill="92D050"/>
            <w:vAlign w:val="center"/>
            <w:hideMark/>
          </w:tcPr>
          <w:p w14:paraId="591BBF7F"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201</w:t>
            </w:r>
          </w:p>
        </w:tc>
        <w:tc>
          <w:tcPr>
            <w:tcW w:w="3756" w:type="dxa"/>
            <w:tcBorders>
              <w:top w:val="single" w:sz="4" w:space="0" w:color="auto"/>
              <w:left w:val="nil"/>
              <w:bottom w:val="nil"/>
              <w:right w:val="nil"/>
            </w:tcBorders>
            <w:shd w:val="clear" w:color="000000" w:fill="99FF99"/>
            <w:vAlign w:val="center"/>
            <w:hideMark/>
          </w:tcPr>
          <w:p w14:paraId="27CD5BE7"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Installations destinées à la production (extraction, traitement,…) d'amiante et à la fabrication de produits à base d'amiante. </w:t>
            </w:r>
          </w:p>
        </w:tc>
        <w:tc>
          <w:tcPr>
            <w:tcW w:w="3754" w:type="dxa"/>
            <w:tcBorders>
              <w:top w:val="single" w:sz="4" w:space="0" w:color="auto"/>
              <w:left w:val="single" w:sz="4" w:space="0" w:color="auto"/>
              <w:bottom w:val="nil"/>
              <w:right w:val="single" w:sz="4" w:space="0" w:color="auto"/>
            </w:tcBorders>
            <w:shd w:val="clear" w:color="000000" w:fill="99FF99"/>
            <w:vAlign w:val="center"/>
            <w:hideMark/>
          </w:tcPr>
          <w:p w14:paraId="0C4B839D"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Inrichtingen voor de productie (winning, behandeling,…) van asbest en de vervaardiging van producten op basis van asbest</w:t>
            </w:r>
          </w:p>
        </w:tc>
        <w:tc>
          <w:tcPr>
            <w:tcW w:w="567" w:type="dxa"/>
            <w:tcBorders>
              <w:top w:val="single" w:sz="4" w:space="0" w:color="auto"/>
              <w:left w:val="nil"/>
              <w:bottom w:val="nil"/>
              <w:right w:val="nil"/>
            </w:tcBorders>
            <w:shd w:val="clear" w:color="000000" w:fill="99FF99"/>
            <w:vAlign w:val="center"/>
            <w:hideMark/>
          </w:tcPr>
          <w:p w14:paraId="4804D794"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single" w:sz="4" w:space="0" w:color="auto"/>
              <w:left w:val="single" w:sz="4" w:space="0" w:color="auto"/>
              <w:bottom w:val="nil"/>
              <w:right w:val="single" w:sz="4" w:space="0" w:color="auto"/>
            </w:tcBorders>
            <w:shd w:val="clear" w:color="000000" w:fill="CCFFCC"/>
            <w:vAlign w:val="center"/>
            <w:hideMark/>
          </w:tcPr>
          <w:p w14:paraId="7CCF35C8"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single" w:sz="4" w:space="0" w:color="auto"/>
              <w:left w:val="nil"/>
              <w:bottom w:val="nil"/>
              <w:right w:val="single" w:sz="8" w:space="0" w:color="auto"/>
            </w:tcBorders>
            <w:shd w:val="clear" w:color="000000" w:fill="CCFFCC"/>
            <w:vAlign w:val="center"/>
            <w:hideMark/>
          </w:tcPr>
          <w:p w14:paraId="344F44E0"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5D1098D4" w14:textId="77777777" w:rsidTr="00F63922">
        <w:trPr>
          <w:trHeight w:val="2244"/>
          <w:jc w:val="center"/>
        </w:trPr>
        <w:tc>
          <w:tcPr>
            <w:tcW w:w="0" w:type="auto"/>
            <w:tcBorders>
              <w:top w:val="nil"/>
              <w:left w:val="single" w:sz="8" w:space="0" w:color="auto"/>
              <w:bottom w:val="nil"/>
              <w:right w:val="single" w:sz="4" w:space="0" w:color="auto"/>
            </w:tcBorders>
            <w:shd w:val="clear" w:color="000000" w:fill="92D050"/>
            <w:noWrap/>
            <w:vAlign w:val="center"/>
            <w:hideMark/>
          </w:tcPr>
          <w:p w14:paraId="2F58F447" w14:textId="30802FC6"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13 A</w:t>
            </w:r>
          </w:p>
        </w:tc>
        <w:tc>
          <w:tcPr>
            <w:tcW w:w="3756" w:type="dxa"/>
            <w:tcBorders>
              <w:top w:val="single" w:sz="4" w:space="0" w:color="auto"/>
              <w:left w:val="nil"/>
              <w:bottom w:val="nil"/>
              <w:right w:val="nil"/>
            </w:tcBorders>
            <w:shd w:val="clear" w:color="000000" w:fill="99FF99"/>
            <w:vAlign w:val="center"/>
            <w:hideMark/>
          </w:tcPr>
          <w:p w14:paraId="53BE5AF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Ateliers de placement d'accessoires mécaniques, électriques ou électroniques (toits ouvrants, alarmes, air-conditionné, hi-fi,...) sur véhicules à moteur;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xml:space="preserve">ateliers d'entretien (vidange-graissage, réglage du </w:t>
            </w:r>
            <w:proofErr w:type="spellStart"/>
            <w:r w:rsidRPr="009E2D9F">
              <w:rPr>
                <w:rFonts w:ascii="Arial" w:eastAsia="Times New Roman" w:hAnsi="Arial" w:cs="Arial"/>
                <w:sz w:val="16"/>
                <w:szCs w:val="16"/>
                <w:lang w:eastAsia="fr-BE"/>
              </w:rPr>
              <w:t>moteur,réglage</w:t>
            </w:r>
            <w:proofErr w:type="spellEnd"/>
            <w:r w:rsidRPr="009E2D9F">
              <w:rPr>
                <w:rFonts w:ascii="Arial" w:eastAsia="Times New Roman" w:hAnsi="Arial" w:cs="Arial"/>
                <w:sz w:val="16"/>
                <w:szCs w:val="16"/>
                <w:lang w:eastAsia="fr-BE"/>
              </w:rPr>
              <w:t xml:space="preserve"> de la géométrie, remplacement de pneus, d'amortisseurs, de vitrages,..), d'essai, de réparation de véhicules à moteurs (à l'exception des travaux de peinture), dont la force motrice est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a)inférieure ou égale à 20 kW</w:t>
            </w:r>
          </w:p>
        </w:tc>
        <w:tc>
          <w:tcPr>
            <w:tcW w:w="3754" w:type="dxa"/>
            <w:tcBorders>
              <w:top w:val="single" w:sz="4" w:space="0" w:color="auto"/>
              <w:left w:val="single" w:sz="4" w:space="0" w:color="auto"/>
              <w:bottom w:val="nil"/>
              <w:right w:val="single" w:sz="4" w:space="0" w:color="auto"/>
            </w:tcBorders>
            <w:shd w:val="clear" w:color="000000" w:fill="99FF99"/>
            <w:vAlign w:val="center"/>
            <w:hideMark/>
          </w:tcPr>
          <w:p w14:paraId="48B42FAA"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Werkplaatsen voor het plaatsen van mechanische, elektrische of elektronische hulpstukken (open daken, alarmsystemen, airconditioning, hifi,..) op motorvoertuigen ;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werkplaatsen voor het onderhoud (olieverversing, afstellen van de </w:t>
            </w:r>
            <w:proofErr w:type="spellStart"/>
            <w:r w:rsidRPr="009E2D9F">
              <w:rPr>
                <w:rFonts w:ascii="Arial" w:eastAsia="Times New Roman" w:hAnsi="Arial" w:cs="Arial"/>
                <w:sz w:val="16"/>
                <w:szCs w:val="16"/>
                <w:lang w:val="nl-BE" w:eastAsia="fr-BE"/>
              </w:rPr>
              <w:t>motor,afstellen</w:t>
            </w:r>
            <w:proofErr w:type="spellEnd"/>
            <w:r w:rsidRPr="009E2D9F">
              <w:rPr>
                <w:rFonts w:ascii="Arial" w:eastAsia="Times New Roman" w:hAnsi="Arial" w:cs="Arial"/>
                <w:sz w:val="16"/>
                <w:szCs w:val="16"/>
                <w:lang w:val="nl-BE" w:eastAsia="fr-BE"/>
              </w:rPr>
              <w:t xml:space="preserve"> van de </w:t>
            </w:r>
            <w:proofErr w:type="spellStart"/>
            <w:r w:rsidRPr="009E2D9F">
              <w:rPr>
                <w:rFonts w:ascii="Arial" w:eastAsia="Times New Roman" w:hAnsi="Arial" w:cs="Arial"/>
                <w:sz w:val="16"/>
                <w:szCs w:val="16"/>
                <w:lang w:val="nl-BE" w:eastAsia="fr-BE"/>
              </w:rPr>
              <w:t>stuurgeometrie,vervangen</w:t>
            </w:r>
            <w:proofErr w:type="spellEnd"/>
            <w:r w:rsidRPr="009E2D9F">
              <w:rPr>
                <w:rFonts w:ascii="Arial" w:eastAsia="Times New Roman" w:hAnsi="Arial" w:cs="Arial"/>
                <w:sz w:val="16"/>
                <w:szCs w:val="16"/>
                <w:lang w:val="nl-BE" w:eastAsia="fr-BE"/>
              </w:rPr>
              <w:t xml:space="preserve"> van banden, schokdempers, beglazing...), voor het testen en het herstellen van motorvoertuigen (met uitzondering van lakwerk), met een drijfkracht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a)kleiner dan of gelijk aan 20kW</w:t>
            </w:r>
          </w:p>
        </w:tc>
        <w:tc>
          <w:tcPr>
            <w:tcW w:w="567" w:type="dxa"/>
            <w:tcBorders>
              <w:top w:val="single" w:sz="4" w:space="0" w:color="auto"/>
              <w:left w:val="nil"/>
              <w:bottom w:val="nil"/>
              <w:right w:val="single" w:sz="4" w:space="0" w:color="auto"/>
            </w:tcBorders>
            <w:shd w:val="clear" w:color="000000" w:fill="99FF99"/>
            <w:vAlign w:val="center"/>
            <w:hideMark/>
          </w:tcPr>
          <w:p w14:paraId="43956240"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tcBorders>
              <w:top w:val="single" w:sz="4" w:space="0" w:color="auto"/>
              <w:left w:val="nil"/>
              <w:bottom w:val="nil"/>
              <w:right w:val="single" w:sz="4" w:space="0" w:color="auto"/>
            </w:tcBorders>
            <w:shd w:val="clear" w:color="000000" w:fill="CCFFCC"/>
            <w:vAlign w:val="center"/>
            <w:hideMark/>
          </w:tcPr>
          <w:p w14:paraId="54E714C1"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exclusivement considérés comme des activités à risque: les ateliers de réparation de véhicules à moteurs et les ateliers d'entretien exerçant des activités autres que le réglage de la géométrie et du moteur ou le remplacement de pneus, d'amortisseurs et de vitrages.</w:t>
            </w:r>
          </w:p>
        </w:tc>
        <w:tc>
          <w:tcPr>
            <w:tcW w:w="2835" w:type="dxa"/>
            <w:tcBorders>
              <w:top w:val="single" w:sz="4" w:space="0" w:color="auto"/>
              <w:left w:val="nil"/>
              <w:bottom w:val="nil"/>
              <w:right w:val="single" w:sz="8" w:space="0" w:color="auto"/>
            </w:tcBorders>
            <w:shd w:val="clear" w:color="000000" w:fill="CCFFCC"/>
            <w:vAlign w:val="center"/>
            <w:hideMark/>
          </w:tcPr>
          <w:p w14:paraId="40141258"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de werkplaatsen voor het onderhoud en het herstellen van motorvoertuigen die activiteiten uitoefenen anders dan het afstellen van de motor, het afstellen van de stuurgeometrie, het vervangen van banden, schokdempers en beglazing.</w:t>
            </w:r>
          </w:p>
        </w:tc>
      </w:tr>
      <w:tr w:rsidR="009E2D9F" w:rsidRPr="003D427D" w14:paraId="4D0E2678" w14:textId="77777777" w:rsidTr="00F63922">
        <w:trPr>
          <w:trHeight w:val="2040"/>
          <w:jc w:val="center"/>
        </w:trPr>
        <w:tc>
          <w:tcPr>
            <w:tcW w:w="0" w:type="auto"/>
            <w:tcBorders>
              <w:top w:val="single" w:sz="4" w:space="0" w:color="auto"/>
              <w:left w:val="single" w:sz="8" w:space="0" w:color="auto"/>
              <w:bottom w:val="single" w:sz="4" w:space="0" w:color="auto"/>
              <w:right w:val="single" w:sz="4" w:space="0" w:color="auto"/>
            </w:tcBorders>
            <w:shd w:val="clear" w:color="000000" w:fill="92D050"/>
            <w:vAlign w:val="center"/>
            <w:hideMark/>
          </w:tcPr>
          <w:p w14:paraId="60C3D534" w14:textId="40B58463"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13 B</w:t>
            </w:r>
          </w:p>
        </w:tc>
        <w:tc>
          <w:tcPr>
            <w:tcW w:w="3756" w:type="dxa"/>
            <w:tcBorders>
              <w:top w:val="single" w:sz="4" w:space="0" w:color="auto"/>
              <w:left w:val="nil"/>
              <w:bottom w:val="single" w:sz="4" w:space="0" w:color="auto"/>
              <w:right w:val="nil"/>
            </w:tcBorders>
            <w:shd w:val="clear" w:color="000000" w:fill="99FF99"/>
            <w:vAlign w:val="center"/>
            <w:hideMark/>
          </w:tcPr>
          <w:p w14:paraId="7F8FD43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Ateliers de placement d'accessoires mécaniques, électriques ou électroniques (toits ouvrants, alarmes, air-conditionné, hi-fi,...) sur véhicules à moteur;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xml:space="preserve">ateliers d'entretien (vidange-graissage, réglage du </w:t>
            </w:r>
            <w:proofErr w:type="spellStart"/>
            <w:r w:rsidRPr="009E2D9F">
              <w:rPr>
                <w:rFonts w:ascii="Arial" w:eastAsia="Times New Roman" w:hAnsi="Arial" w:cs="Arial"/>
                <w:sz w:val="16"/>
                <w:szCs w:val="16"/>
                <w:lang w:eastAsia="fr-BE"/>
              </w:rPr>
              <w:t>moteur,réglage</w:t>
            </w:r>
            <w:proofErr w:type="spellEnd"/>
            <w:r w:rsidRPr="009E2D9F">
              <w:rPr>
                <w:rFonts w:ascii="Arial" w:eastAsia="Times New Roman" w:hAnsi="Arial" w:cs="Arial"/>
                <w:sz w:val="16"/>
                <w:szCs w:val="16"/>
                <w:lang w:eastAsia="fr-BE"/>
              </w:rPr>
              <w:t xml:space="preserve"> de la géométrie, remplacement de pneus, d'amortisseurs, de vitrages,..), d'essai, de réparation de véhicules à moteurs (à l'exception des travaux de peinture), dont la force motrice est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b)supérieure à 20 kW</w:t>
            </w:r>
          </w:p>
        </w:tc>
        <w:tc>
          <w:tcPr>
            <w:tcW w:w="3754" w:type="dxa"/>
            <w:tcBorders>
              <w:top w:val="single" w:sz="4" w:space="0" w:color="auto"/>
              <w:left w:val="single" w:sz="4" w:space="0" w:color="auto"/>
              <w:bottom w:val="single" w:sz="4" w:space="0" w:color="auto"/>
              <w:right w:val="single" w:sz="4" w:space="0" w:color="auto"/>
            </w:tcBorders>
            <w:shd w:val="clear" w:color="000000" w:fill="99FF99"/>
            <w:vAlign w:val="center"/>
            <w:hideMark/>
          </w:tcPr>
          <w:p w14:paraId="4BCDA16B"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Werkplaatsen voor het plaatsen van mechanische, elektrische of elektronische hulpstukken (open daken, alarmsystemen, airconditioning, hifi,..) op motorvoertuigen ;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werkplaatsen voor het onderhoud (olieverversing, afstellen van de </w:t>
            </w:r>
            <w:proofErr w:type="spellStart"/>
            <w:r w:rsidRPr="009E2D9F">
              <w:rPr>
                <w:rFonts w:ascii="Arial" w:eastAsia="Times New Roman" w:hAnsi="Arial" w:cs="Arial"/>
                <w:sz w:val="16"/>
                <w:szCs w:val="16"/>
                <w:lang w:val="nl-BE" w:eastAsia="fr-BE"/>
              </w:rPr>
              <w:t>motor,afstellen</w:t>
            </w:r>
            <w:proofErr w:type="spellEnd"/>
            <w:r w:rsidRPr="009E2D9F">
              <w:rPr>
                <w:rFonts w:ascii="Arial" w:eastAsia="Times New Roman" w:hAnsi="Arial" w:cs="Arial"/>
                <w:sz w:val="16"/>
                <w:szCs w:val="16"/>
                <w:lang w:val="nl-BE" w:eastAsia="fr-BE"/>
              </w:rPr>
              <w:t xml:space="preserve"> van de </w:t>
            </w:r>
            <w:proofErr w:type="spellStart"/>
            <w:r w:rsidRPr="009E2D9F">
              <w:rPr>
                <w:rFonts w:ascii="Arial" w:eastAsia="Times New Roman" w:hAnsi="Arial" w:cs="Arial"/>
                <w:sz w:val="16"/>
                <w:szCs w:val="16"/>
                <w:lang w:val="nl-BE" w:eastAsia="fr-BE"/>
              </w:rPr>
              <w:t>stuurgeometrie,vervangen</w:t>
            </w:r>
            <w:proofErr w:type="spellEnd"/>
            <w:r w:rsidRPr="009E2D9F">
              <w:rPr>
                <w:rFonts w:ascii="Arial" w:eastAsia="Times New Roman" w:hAnsi="Arial" w:cs="Arial"/>
                <w:sz w:val="16"/>
                <w:szCs w:val="16"/>
                <w:lang w:val="nl-BE" w:eastAsia="fr-BE"/>
              </w:rPr>
              <w:t xml:space="preserve"> van banden, schokdempers, beglazing...), voor het testen en het herstellen van motorvoertuigen (met uitzondering van lakwerk), met een drijfkracht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b)groter dan 20 </w:t>
            </w:r>
            <w:proofErr w:type="spellStart"/>
            <w:r w:rsidRPr="009E2D9F">
              <w:rPr>
                <w:rFonts w:ascii="Arial" w:eastAsia="Times New Roman" w:hAnsi="Arial" w:cs="Arial"/>
                <w:sz w:val="16"/>
                <w:szCs w:val="16"/>
                <w:lang w:val="nl-BE" w:eastAsia="fr-BE"/>
              </w:rPr>
              <w:t>Kw</w:t>
            </w:r>
            <w:proofErr w:type="spellEnd"/>
          </w:p>
        </w:tc>
        <w:tc>
          <w:tcPr>
            <w:tcW w:w="567" w:type="dxa"/>
            <w:tcBorders>
              <w:top w:val="single" w:sz="4" w:space="0" w:color="auto"/>
              <w:left w:val="nil"/>
              <w:bottom w:val="single" w:sz="4" w:space="0" w:color="auto"/>
              <w:right w:val="nil"/>
            </w:tcBorders>
            <w:shd w:val="clear" w:color="000000" w:fill="99FF99"/>
            <w:vAlign w:val="center"/>
            <w:hideMark/>
          </w:tcPr>
          <w:p w14:paraId="2AB65286"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2F88B18D"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exclusivement considérés comme des activités à risque: les ateliers de réparation de véhicules à moteurs et les ateliers d'entretien exerçant des activités autres que le réglage de la géométrie et du moteur ou le remplacement de pneus, d'amortisseurs et de vitrages.</w:t>
            </w:r>
          </w:p>
        </w:tc>
        <w:tc>
          <w:tcPr>
            <w:tcW w:w="2835" w:type="dxa"/>
            <w:tcBorders>
              <w:top w:val="single" w:sz="4" w:space="0" w:color="auto"/>
              <w:left w:val="single" w:sz="4" w:space="0" w:color="auto"/>
              <w:bottom w:val="single" w:sz="4" w:space="0" w:color="auto"/>
              <w:right w:val="single" w:sz="8" w:space="0" w:color="auto"/>
            </w:tcBorders>
            <w:shd w:val="clear" w:color="000000" w:fill="CCFFCC"/>
            <w:vAlign w:val="center"/>
            <w:hideMark/>
          </w:tcPr>
          <w:p w14:paraId="2A10440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de werkplaatsen voor het onderhoud en het herstellen van motorvoertuigen die activiteiten uitoefenen anders dan het afstellen van de motor, het afstellen van de stuurgeometrie, het vervangen van banden, schokdempers en beglazing.</w:t>
            </w:r>
          </w:p>
        </w:tc>
      </w:tr>
      <w:tr w:rsidR="009E2D9F" w:rsidRPr="009E2D9F" w14:paraId="072DE2D2" w14:textId="77777777" w:rsidTr="00F63922">
        <w:trPr>
          <w:trHeight w:val="612"/>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32E69B57" w14:textId="5F5D6E4A"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17 A</w:t>
            </w:r>
          </w:p>
        </w:tc>
        <w:tc>
          <w:tcPr>
            <w:tcW w:w="3756" w:type="dxa"/>
            <w:tcBorders>
              <w:top w:val="nil"/>
              <w:left w:val="nil"/>
              <w:bottom w:val="single" w:sz="4" w:space="0" w:color="auto"/>
              <w:right w:val="nil"/>
            </w:tcBorders>
            <w:shd w:val="clear" w:color="000000" w:fill="99FF99"/>
            <w:vAlign w:val="center"/>
            <w:hideMark/>
          </w:tcPr>
          <w:p w14:paraId="28B025D6"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bitume, brai, goudron, asphalte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a) dont la capacité totale sur le site est de 5 à 50 tonnes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08A84EDF"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bitumen, pek, teer, asfalt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a) met een totale capaciteit op de site van 5 tot en met 50 ton</w:t>
            </w:r>
          </w:p>
        </w:tc>
        <w:tc>
          <w:tcPr>
            <w:tcW w:w="567" w:type="dxa"/>
            <w:tcBorders>
              <w:top w:val="nil"/>
              <w:left w:val="nil"/>
              <w:bottom w:val="single" w:sz="4" w:space="0" w:color="auto"/>
              <w:right w:val="nil"/>
            </w:tcBorders>
            <w:shd w:val="clear" w:color="000000" w:fill="99FF99"/>
            <w:vAlign w:val="center"/>
            <w:hideMark/>
          </w:tcPr>
          <w:p w14:paraId="3BE68978"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16348CE0"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790D1D67"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9E2D9F" w14:paraId="3A681141" w14:textId="77777777" w:rsidTr="00F63922">
        <w:trPr>
          <w:trHeight w:val="612"/>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06634312" w14:textId="6D487629"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17 B</w:t>
            </w:r>
          </w:p>
        </w:tc>
        <w:tc>
          <w:tcPr>
            <w:tcW w:w="3756" w:type="dxa"/>
            <w:tcBorders>
              <w:top w:val="nil"/>
              <w:left w:val="nil"/>
              <w:bottom w:val="single" w:sz="4" w:space="0" w:color="auto"/>
              <w:right w:val="nil"/>
            </w:tcBorders>
            <w:shd w:val="clear" w:color="000000" w:fill="99FF99"/>
            <w:vAlign w:val="center"/>
            <w:hideMark/>
          </w:tcPr>
          <w:p w14:paraId="039D23B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bitume, brai, goudron, asphalte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 dont la capacité totale sur le site est de plus de 50 tonnes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3E6F7121"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bitumen, pek, teer, asfalt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b) met een totale capaciteit op de site van meer dan 50 ton</w:t>
            </w:r>
          </w:p>
        </w:tc>
        <w:tc>
          <w:tcPr>
            <w:tcW w:w="567" w:type="dxa"/>
            <w:tcBorders>
              <w:top w:val="nil"/>
              <w:left w:val="nil"/>
              <w:bottom w:val="single" w:sz="4" w:space="0" w:color="auto"/>
              <w:right w:val="nil"/>
            </w:tcBorders>
            <w:shd w:val="clear" w:color="000000" w:fill="99FF99"/>
            <w:vAlign w:val="center"/>
            <w:hideMark/>
          </w:tcPr>
          <w:p w14:paraId="5453D66E"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noWrap/>
            <w:vAlign w:val="center"/>
            <w:hideMark/>
          </w:tcPr>
          <w:p w14:paraId="2F5612D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single" w:sz="4" w:space="0" w:color="auto"/>
              <w:bottom w:val="single" w:sz="4" w:space="0" w:color="auto"/>
              <w:right w:val="single" w:sz="8" w:space="0" w:color="auto"/>
            </w:tcBorders>
            <w:shd w:val="clear" w:color="000000" w:fill="CCFFCC"/>
            <w:noWrap/>
            <w:vAlign w:val="center"/>
            <w:hideMark/>
          </w:tcPr>
          <w:p w14:paraId="141D12D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4AD97BD7" w14:textId="77777777" w:rsidTr="00F63922">
        <w:trPr>
          <w:trHeight w:val="1059"/>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456AB3F8" w14:textId="1DFBD9A0"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20 B</w:t>
            </w:r>
          </w:p>
        </w:tc>
        <w:tc>
          <w:tcPr>
            <w:tcW w:w="3756" w:type="dxa"/>
            <w:tcBorders>
              <w:top w:val="nil"/>
              <w:left w:val="nil"/>
              <w:bottom w:val="single" w:sz="4" w:space="0" w:color="auto"/>
              <w:right w:val="nil"/>
            </w:tcBorders>
            <w:shd w:val="clear" w:color="000000" w:fill="99FF99"/>
            <w:vAlign w:val="center"/>
            <w:hideMark/>
          </w:tcPr>
          <w:p w14:paraId="3BBB7002"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b) - Bains de décapage de meubles ou d'objet en bois, d'une capacité totale supérieure ou égale à 200 litres</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Imprégnation du bois et des produits dérivés du bois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0C4C542"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b)Kuipen voor het afbijten van meubelen of voorwerpen uit hout met een totale inhoud groter dan of gelijk aan 200 liter</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Drenking van hout en van hout afgeleide producten</w:t>
            </w:r>
          </w:p>
        </w:tc>
        <w:tc>
          <w:tcPr>
            <w:tcW w:w="567" w:type="dxa"/>
            <w:tcBorders>
              <w:top w:val="single" w:sz="4" w:space="0" w:color="auto"/>
              <w:left w:val="nil"/>
              <w:bottom w:val="single" w:sz="4" w:space="0" w:color="auto"/>
              <w:right w:val="single" w:sz="4" w:space="0" w:color="auto"/>
            </w:tcBorders>
            <w:shd w:val="clear" w:color="000000" w:fill="99FF99"/>
            <w:vAlign w:val="center"/>
            <w:hideMark/>
          </w:tcPr>
          <w:p w14:paraId="37D0483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4C6F84F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des activités à risque si les produits sont classées selon le règlement CLP comme présentant un risque ou un danger envers la santé autre que corrosif et irritant, ou envers l’environnement autre que pour la couche d’ozone*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6D4D5597"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Zijn risicoactiviteiten als de producten volgens de CLP-verordening geklasseerd zijn als producten die een risico of een gevaar voor de gezondheid inhouden, anders dan corrosief en irriterend, of voor het leefmilieu, anders dan voor de ozonlaag*</w:t>
            </w:r>
          </w:p>
        </w:tc>
      </w:tr>
      <w:tr w:rsidR="009E2D9F" w:rsidRPr="003D427D" w14:paraId="28AAB6A4" w14:textId="77777777" w:rsidTr="00F63922">
        <w:trPr>
          <w:trHeight w:val="612"/>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1470B5DC"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22.1</w:t>
            </w:r>
          </w:p>
        </w:tc>
        <w:tc>
          <w:tcPr>
            <w:tcW w:w="3756" w:type="dxa"/>
            <w:tcBorders>
              <w:top w:val="nil"/>
              <w:left w:val="nil"/>
              <w:bottom w:val="single" w:sz="4" w:space="0" w:color="auto"/>
              <w:right w:val="nil"/>
            </w:tcBorders>
            <w:shd w:val="clear" w:color="000000" w:fill="99FF99"/>
            <w:vAlign w:val="center"/>
            <w:hideMark/>
          </w:tcPr>
          <w:p w14:paraId="0EA77D11"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boues dont la surface totale destinée au stockage sur le site est inférieure ou égale à 100 m²</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4A75B251"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slib met een voor opslag bestemde totale oppervlakte tot en met 100 m²</w:t>
            </w:r>
          </w:p>
        </w:tc>
        <w:tc>
          <w:tcPr>
            <w:tcW w:w="567" w:type="dxa"/>
            <w:tcBorders>
              <w:top w:val="nil"/>
              <w:left w:val="nil"/>
              <w:bottom w:val="single" w:sz="4" w:space="0" w:color="auto"/>
              <w:right w:val="single" w:sz="4" w:space="0" w:color="auto"/>
            </w:tcBorders>
            <w:shd w:val="clear" w:color="000000" w:fill="99FF99"/>
            <w:vAlign w:val="center"/>
            <w:hideMark/>
          </w:tcPr>
          <w:p w14:paraId="2046AFA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1C</w:t>
            </w:r>
          </w:p>
        </w:tc>
        <w:tc>
          <w:tcPr>
            <w:tcW w:w="2835" w:type="dxa"/>
            <w:tcBorders>
              <w:top w:val="single" w:sz="4" w:space="0" w:color="auto"/>
              <w:left w:val="nil"/>
              <w:bottom w:val="single" w:sz="4" w:space="0" w:color="auto"/>
              <w:right w:val="nil"/>
            </w:tcBorders>
            <w:shd w:val="clear" w:color="000000" w:fill="CCFFCC"/>
            <w:vAlign w:val="center"/>
            <w:hideMark/>
          </w:tcPr>
          <w:p w14:paraId="52CD9EE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Ne sont pas considérées comme activité à risque : les dépôts de et le traitement de boues et/ou de terres excavées ne dépassant pas les normes d’intervention</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35556905"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niet als </w:t>
            </w:r>
            <w:proofErr w:type="spellStart"/>
            <w:r w:rsidRPr="009E2D9F">
              <w:rPr>
                <w:rFonts w:ascii="Arial" w:eastAsia="Times New Roman" w:hAnsi="Arial" w:cs="Arial"/>
                <w:sz w:val="16"/>
                <w:szCs w:val="16"/>
                <w:lang w:val="nl-BE" w:eastAsia="fr-BE"/>
              </w:rPr>
              <w:t>risicoactiveiten</w:t>
            </w:r>
            <w:proofErr w:type="spellEnd"/>
            <w:r w:rsidRPr="009E2D9F">
              <w:rPr>
                <w:rFonts w:ascii="Arial" w:eastAsia="Times New Roman" w:hAnsi="Arial" w:cs="Arial"/>
                <w:sz w:val="16"/>
                <w:szCs w:val="16"/>
                <w:lang w:val="nl-BE" w:eastAsia="fr-BE"/>
              </w:rPr>
              <w:t xml:space="preserve"> beschouwd : de opslagplaatsen voor en de verwerking van slib en/of uitgegraven grond die de interventienormen niet overschrijden</w:t>
            </w:r>
          </w:p>
        </w:tc>
      </w:tr>
      <w:tr w:rsidR="009E2D9F" w:rsidRPr="003D427D" w14:paraId="03DE5FB8" w14:textId="77777777" w:rsidTr="00F63922">
        <w:trPr>
          <w:trHeight w:val="612"/>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382D728B"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22.2</w:t>
            </w:r>
          </w:p>
        </w:tc>
        <w:tc>
          <w:tcPr>
            <w:tcW w:w="3756" w:type="dxa"/>
            <w:tcBorders>
              <w:top w:val="nil"/>
              <w:left w:val="nil"/>
              <w:bottom w:val="single" w:sz="4" w:space="0" w:color="auto"/>
              <w:right w:val="nil"/>
            </w:tcBorders>
            <w:shd w:val="clear" w:color="000000" w:fill="99FF99"/>
            <w:vAlign w:val="center"/>
            <w:hideMark/>
          </w:tcPr>
          <w:p w14:paraId="2A08AF30"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boues et/ou de terres excavées dont la surface totale destinée au stockage sur le site est supérieure à 100 m²</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A358960"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slib en/of uitgegraven grond met een voor opslag bestemde totale oppervlakte van meer dan 100 m²</w:t>
            </w:r>
          </w:p>
        </w:tc>
        <w:tc>
          <w:tcPr>
            <w:tcW w:w="567" w:type="dxa"/>
            <w:tcBorders>
              <w:top w:val="nil"/>
              <w:left w:val="nil"/>
              <w:bottom w:val="single" w:sz="4" w:space="0" w:color="auto"/>
              <w:right w:val="single" w:sz="4" w:space="0" w:color="auto"/>
            </w:tcBorders>
            <w:shd w:val="clear" w:color="000000" w:fill="99FF99"/>
            <w:vAlign w:val="center"/>
            <w:hideMark/>
          </w:tcPr>
          <w:p w14:paraId="62E3DF8B"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nil"/>
            </w:tcBorders>
            <w:shd w:val="clear" w:color="000000" w:fill="CCFFCC"/>
            <w:vAlign w:val="center"/>
            <w:hideMark/>
          </w:tcPr>
          <w:p w14:paraId="5B03D620"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Ne sont pas considérées comme activité à risque : les dépôts de et le traitement de boues et/ou de terres excavées ne dépassant pas les normes d’intervention</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3D3A626A"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niet als </w:t>
            </w:r>
            <w:proofErr w:type="spellStart"/>
            <w:r w:rsidRPr="009E2D9F">
              <w:rPr>
                <w:rFonts w:ascii="Arial" w:eastAsia="Times New Roman" w:hAnsi="Arial" w:cs="Arial"/>
                <w:sz w:val="16"/>
                <w:szCs w:val="16"/>
                <w:lang w:val="nl-BE" w:eastAsia="fr-BE"/>
              </w:rPr>
              <w:t>risicoactiveiten</w:t>
            </w:r>
            <w:proofErr w:type="spellEnd"/>
            <w:r w:rsidRPr="009E2D9F">
              <w:rPr>
                <w:rFonts w:ascii="Arial" w:eastAsia="Times New Roman" w:hAnsi="Arial" w:cs="Arial"/>
                <w:sz w:val="16"/>
                <w:szCs w:val="16"/>
                <w:lang w:val="nl-BE" w:eastAsia="fr-BE"/>
              </w:rPr>
              <w:t xml:space="preserve"> beschouwd : de opslagplaatsen voor en de verwerking van slib en/of uitgegraven grond die de interventienormen niet overschrijden</w:t>
            </w:r>
          </w:p>
        </w:tc>
      </w:tr>
      <w:tr w:rsidR="009E2D9F" w:rsidRPr="003D427D" w14:paraId="27075F21" w14:textId="77777777" w:rsidTr="00F63922">
        <w:trPr>
          <w:trHeight w:val="1632"/>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050AB5D8"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22.3</w:t>
            </w:r>
          </w:p>
        </w:tc>
        <w:tc>
          <w:tcPr>
            <w:tcW w:w="3756" w:type="dxa"/>
            <w:tcBorders>
              <w:top w:val="nil"/>
              <w:left w:val="nil"/>
              <w:bottom w:val="single" w:sz="4" w:space="0" w:color="auto"/>
              <w:right w:val="nil"/>
            </w:tcBorders>
            <w:shd w:val="clear" w:color="000000" w:fill="99FF99"/>
            <w:vAlign w:val="center"/>
            <w:hideMark/>
          </w:tcPr>
          <w:p w14:paraId="10989CB0" w14:textId="4B70EE9D"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w:t>
            </w:r>
            <w:r w:rsidR="0097679F">
              <w:rPr>
                <w:rFonts w:ascii="Arial" w:eastAsia="Times New Roman" w:hAnsi="Arial" w:cs="Arial"/>
                <w:sz w:val="16"/>
                <w:szCs w:val="16"/>
                <w:lang w:eastAsia="fr-BE"/>
              </w:rPr>
              <w:t>s</w:t>
            </w:r>
            <w:r w:rsidRPr="009E2D9F">
              <w:rPr>
                <w:rFonts w:ascii="Arial" w:eastAsia="Times New Roman" w:hAnsi="Arial" w:cs="Arial"/>
                <w:sz w:val="16"/>
                <w:szCs w:val="16"/>
                <w:lang w:eastAsia="fr-BE"/>
              </w:rPr>
              <w:t xml:space="preserve"> de </w:t>
            </w:r>
            <w:r w:rsidR="0097679F">
              <w:rPr>
                <w:rFonts w:ascii="Arial" w:eastAsia="Times New Roman" w:hAnsi="Arial" w:cs="Arial"/>
                <w:sz w:val="16"/>
                <w:szCs w:val="16"/>
                <w:lang w:eastAsia="fr-BE"/>
              </w:rPr>
              <w:t xml:space="preserve">collecte et/ou </w:t>
            </w:r>
            <w:r w:rsidRPr="009E2D9F">
              <w:rPr>
                <w:rFonts w:ascii="Arial" w:eastAsia="Times New Roman" w:hAnsi="Arial" w:cs="Arial"/>
                <w:sz w:val="16"/>
                <w:szCs w:val="16"/>
                <w:lang w:eastAsia="fr-BE"/>
              </w:rPr>
              <w:t>traitement, y compris la collecte, de boues et/ou de terres excavées</w:t>
            </w:r>
            <w:r w:rsidR="0097679F">
              <w:rPr>
                <w:rFonts w:ascii="Arial" w:eastAsia="Times New Roman" w:hAnsi="Arial" w:cs="Arial"/>
                <w:sz w:val="16"/>
                <w:szCs w:val="16"/>
                <w:lang w:eastAsia="fr-BE"/>
              </w:rPr>
              <w:t>, d’une capacité</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A inférieure ou égale à 1000 t/an</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 supérieure à 1000 t/an</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49BFC57B" w14:textId="6F16185B" w:rsidR="009E2D9F" w:rsidRPr="009E2D9F" w:rsidRDefault="0097679F" w:rsidP="009E2D9F">
            <w:pPr>
              <w:spacing w:after="0" w:line="240" w:lineRule="auto"/>
              <w:rPr>
                <w:rFonts w:ascii="Arial" w:eastAsia="Times New Roman" w:hAnsi="Arial" w:cs="Arial"/>
                <w:sz w:val="16"/>
                <w:szCs w:val="16"/>
                <w:lang w:val="nl-BE" w:eastAsia="fr-BE"/>
              </w:rPr>
            </w:pPr>
            <w:r w:rsidRPr="00643242">
              <w:rPr>
                <w:rFonts w:ascii="Arial" w:eastAsia="Times New Roman" w:hAnsi="Arial" w:cs="Arial"/>
                <w:sz w:val="16"/>
                <w:szCs w:val="16"/>
                <w:lang w:val="nl-BE" w:eastAsia="fr-BE"/>
              </w:rPr>
              <w:t>In</w:t>
            </w:r>
            <w:r>
              <w:rPr>
                <w:rFonts w:ascii="Arial" w:eastAsia="Times New Roman" w:hAnsi="Arial" w:cs="Arial"/>
                <w:sz w:val="16"/>
                <w:szCs w:val="16"/>
                <w:lang w:val="nl-BE" w:eastAsia="fr-BE"/>
              </w:rPr>
              <w:t>zamel- en/of v</w:t>
            </w:r>
            <w:r w:rsidR="009E2D9F" w:rsidRPr="009E2D9F">
              <w:rPr>
                <w:rFonts w:ascii="Arial" w:eastAsia="Times New Roman" w:hAnsi="Arial" w:cs="Arial"/>
                <w:sz w:val="16"/>
                <w:szCs w:val="16"/>
                <w:lang w:val="nl-BE" w:eastAsia="fr-BE"/>
              </w:rPr>
              <w:t>erwerkingsinrichting</w:t>
            </w:r>
            <w:r>
              <w:rPr>
                <w:rFonts w:ascii="Arial" w:eastAsia="Times New Roman" w:hAnsi="Arial" w:cs="Arial"/>
                <w:sz w:val="16"/>
                <w:szCs w:val="16"/>
                <w:lang w:val="nl-BE" w:eastAsia="fr-BE"/>
              </w:rPr>
              <w:t>en</w:t>
            </w:r>
            <w:r w:rsidR="009E2D9F" w:rsidRPr="009E2D9F">
              <w:rPr>
                <w:rFonts w:ascii="Arial" w:eastAsia="Times New Roman" w:hAnsi="Arial" w:cs="Arial"/>
                <w:sz w:val="16"/>
                <w:szCs w:val="16"/>
                <w:lang w:val="nl-BE" w:eastAsia="fr-BE"/>
              </w:rPr>
              <w:t xml:space="preserve">, met inbegrip van de </w:t>
            </w:r>
            <w:r>
              <w:rPr>
                <w:rFonts w:ascii="Arial" w:eastAsia="Times New Roman" w:hAnsi="Arial" w:cs="Arial"/>
                <w:sz w:val="16"/>
                <w:szCs w:val="16"/>
                <w:lang w:val="nl-BE" w:eastAsia="fr-BE"/>
              </w:rPr>
              <w:t>opslag</w:t>
            </w:r>
            <w:r w:rsidR="009E2D9F" w:rsidRPr="009E2D9F">
              <w:rPr>
                <w:rFonts w:ascii="Arial" w:eastAsia="Times New Roman" w:hAnsi="Arial" w:cs="Arial"/>
                <w:sz w:val="16"/>
                <w:szCs w:val="16"/>
                <w:lang w:val="nl-BE" w:eastAsia="fr-BE"/>
              </w:rPr>
              <w:t>, van slib en/of uitgegraven grond</w:t>
            </w:r>
            <w:r>
              <w:rPr>
                <w:rFonts w:ascii="Arial" w:eastAsia="Times New Roman" w:hAnsi="Arial" w:cs="Arial"/>
                <w:sz w:val="16"/>
                <w:szCs w:val="16"/>
                <w:lang w:val="nl-BE" w:eastAsia="fr-BE"/>
              </w:rPr>
              <w:t xml:space="preserve"> met een capaciteit</w:t>
            </w:r>
            <w:r w:rsidR="009E2D9F" w:rsidRPr="009E2D9F">
              <w:rPr>
                <w:rFonts w:ascii="Arial" w:eastAsia="Times New Roman" w:hAnsi="Arial" w:cs="Arial"/>
                <w:sz w:val="16"/>
                <w:szCs w:val="16"/>
                <w:lang w:val="nl-BE" w:eastAsia="fr-BE"/>
              </w:rPr>
              <w:br/>
            </w:r>
            <w:r w:rsidR="009E2D9F" w:rsidRPr="009E2D9F">
              <w:rPr>
                <w:rFonts w:ascii="Arial" w:eastAsia="Times New Roman" w:hAnsi="Arial" w:cs="Arial"/>
                <w:sz w:val="16"/>
                <w:szCs w:val="16"/>
                <w:lang w:val="nl-BE" w:eastAsia="fr-BE"/>
              </w:rPr>
              <w:br/>
              <w:t xml:space="preserve">A. </w:t>
            </w:r>
            <w:r>
              <w:rPr>
                <w:rFonts w:ascii="Arial" w:eastAsia="Times New Roman" w:hAnsi="Arial" w:cs="Arial"/>
                <w:sz w:val="16"/>
                <w:szCs w:val="16"/>
                <w:lang w:val="nl-BE" w:eastAsia="fr-BE"/>
              </w:rPr>
              <w:t xml:space="preserve">kleiner dan of gelijk aan </w:t>
            </w:r>
            <w:r w:rsidR="009E2D9F" w:rsidRPr="009E2D9F">
              <w:rPr>
                <w:rFonts w:ascii="Arial" w:eastAsia="Times New Roman" w:hAnsi="Arial" w:cs="Arial"/>
                <w:sz w:val="16"/>
                <w:szCs w:val="16"/>
                <w:lang w:val="nl-BE" w:eastAsia="fr-BE"/>
              </w:rPr>
              <w:t>1000 t/jaar</w:t>
            </w:r>
            <w:r w:rsidR="009E2D9F" w:rsidRPr="009E2D9F">
              <w:rPr>
                <w:rFonts w:ascii="Arial" w:eastAsia="Times New Roman" w:hAnsi="Arial" w:cs="Arial"/>
                <w:sz w:val="16"/>
                <w:szCs w:val="16"/>
                <w:lang w:val="nl-BE" w:eastAsia="fr-BE"/>
              </w:rPr>
              <w:br/>
            </w:r>
            <w:r w:rsidR="009E2D9F" w:rsidRPr="009E2D9F">
              <w:rPr>
                <w:rFonts w:ascii="Arial" w:eastAsia="Times New Roman" w:hAnsi="Arial" w:cs="Arial"/>
                <w:sz w:val="16"/>
                <w:szCs w:val="16"/>
                <w:lang w:val="nl-BE" w:eastAsia="fr-BE"/>
              </w:rPr>
              <w:br/>
              <w:t xml:space="preserve">B </w:t>
            </w:r>
            <w:r w:rsidR="00DF3998">
              <w:rPr>
                <w:rFonts w:ascii="Arial" w:eastAsia="Times New Roman" w:hAnsi="Arial" w:cs="Arial"/>
                <w:sz w:val="16"/>
                <w:szCs w:val="16"/>
                <w:lang w:val="nl-BE" w:eastAsia="fr-BE"/>
              </w:rPr>
              <w:t>groter dan</w:t>
            </w:r>
            <w:r w:rsidR="009E2D9F" w:rsidRPr="009E2D9F">
              <w:rPr>
                <w:rFonts w:ascii="Arial" w:eastAsia="Times New Roman" w:hAnsi="Arial" w:cs="Arial"/>
                <w:sz w:val="16"/>
                <w:szCs w:val="16"/>
                <w:lang w:val="nl-BE" w:eastAsia="fr-BE"/>
              </w:rPr>
              <w:t xml:space="preserve"> 1000 t/jaar</w:t>
            </w:r>
          </w:p>
        </w:tc>
        <w:tc>
          <w:tcPr>
            <w:tcW w:w="567" w:type="dxa"/>
            <w:tcBorders>
              <w:top w:val="nil"/>
              <w:left w:val="nil"/>
              <w:bottom w:val="single" w:sz="4" w:space="0" w:color="auto"/>
              <w:right w:val="single" w:sz="4" w:space="0" w:color="auto"/>
            </w:tcBorders>
            <w:shd w:val="clear" w:color="000000" w:fill="99FF99"/>
            <w:vAlign w:val="center"/>
            <w:hideMark/>
          </w:tcPr>
          <w:p w14:paraId="5D07ECB4"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eastAsia="fr-BE"/>
              </w:rPr>
              <w:t>2</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1B</w:t>
            </w:r>
          </w:p>
        </w:tc>
        <w:tc>
          <w:tcPr>
            <w:tcW w:w="2835" w:type="dxa"/>
            <w:tcBorders>
              <w:top w:val="nil"/>
              <w:left w:val="nil"/>
              <w:bottom w:val="single" w:sz="4" w:space="0" w:color="auto"/>
              <w:right w:val="nil"/>
            </w:tcBorders>
            <w:shd w:val="clear" w:color="000000" w:fill="CCFFCC"/>
            <w:vAlign w:val="center"/>
            <w:hideMark/>
          </w:tcPr>
          <w:p w14:paraId="14109A3F"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Ne sont pas considérées comme activité à risque : les dépôts de et le traitement de boues et/ou de terres excavées ne dépassant pas les normes d’intervention</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5BFA2918"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niet als </w:t>
            </w:r>
            <w:proofErr w:type="spellStart"/>
            <w:r w:rsidRPr="009E2D9F">
              <w:rPr>
                <w:rFonts w:ascii="Arial" w:eastAsia="Times New Roman" w:hAnsi="Arial" w:cs="Arial"/>
                <w:sz w:val="16"/>
                <w:szCs w:val="16"/>
                <w:lang w:val="nl-BE" w:eastAsia="fr-BE"/>
              </w:rPr>
              <w:t>risicoactiveiten</w:t>
            </w:r>
            <w:proofErr w:type="spellEnd"/>
            <w:r w:rsidRPr="009E2D9F">
              <w:rPr>
                <w:rFonts w:ascii="Arial" w:eastAsia="Times New Roman" w:hAnsi="Arial" w:cs="Arial"/>
                <w:sz w:val="16"/>
                <w:szCs w:val="16"/>
                <w:lang w:val="nl-BE" w:eastAsia="fr-BE"/>
              </w:rPr>
              <w:t xml:space="preserve"> beschouwd : de opslagplaatsen voor en de verwerking van slib en/of uitgegraven grond die de interventienormen niet overschrijden</w:t>
            </w:r>
          </w:p>
        </w:tc>
      </w:tr>
      <w:tr w:rsidR="009E2D9F" w:rsidRPr="009E2D9F" w14:paraId="4858235F" w14:textId="77777777" w:rsidTr="00F63922">
        <w:trPr>
          <w:trHeight w:val="1836"/>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60D92D8F"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208</w:t>
            </w:r>
          </w:p>
        </w:tc>
        <w:tc>
          <w:tcPr>
            <w:tcW w:w="3756" w:type="dxa"/>
            <w:tcBorders>
              <w:top w:val="nil"/>
              <w:left w:val="nil"/>
              <w:bottom w:val="single" w:sz="4" w:space="0" w:color="auto"/>
              <w:right w:val="nil"/>
            </w:tcBorders>
            <w:shd w:val="clear" w:color="000000" w:fill="99FF99"/>
            <w:vAlign w:val="center"/>
            <w:hideMark/>
          </w:tcPr>
          <w:p w14:paraId="01B24DE0"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chimiques intégrées, à savoir les installations prévues pour la fabrication à l'échelle industrielle de substances par transformation chimique ou biologique, où plusieurs unités sont juxtaposées et fonctionnellement liées entre elles et qui sont notamment destinées à la fabrication de produits chimiques organiques, de produits chimiques inorganiques, d'engrais à base de phosphore, d'azote ou de potassium (engrais simples ou composés), de produits phytosanitaires et de biocides, de produits pharmaceutiques selon un procédé chimique ou biologique y compris d'intermédiaires, d'explosifs.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30624BB7"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Geïntegreerde chemische inrichtingen, met name inrichtingen voor het vervaardigen op industriële schaal van stoffen door scheikundige of biologische transformatie, waar meerdere eenheden naast elkaar worden geplaatst en functioneel aan elkaar zijn gekoppeld, en die, in het bijzonder bestemd zijn voor de vervaardiging van organische basischemicaliën, anorganische basischemicaliën, meststoffen met een fosfor, stikstof-of kaliumbase (enkelvoudige of samengestelde meststoffen), fytosanitaire en kiemdodende basisproducten, farmaceutische basisproducten aan de hand van een scheikundig of biologisch proces, springstoffen.</w:t>
            </w:r>
          </w:p>
        </w:tc>
        <w:tc>
          <w:tcPr>
            <w:tcW w:w="567" w:type="dxa"/>
            <w:tcBorders>
              <w:top w:val="single" w:sz="4" w:space="0" w:color="auto"/>
              <w:left w:val="nil"/>
              <w:bottom w:val="single" w:sz="4" w:space="0" w:color="auto"/>
              <w:right w:val="nil"/>
            </w:tcBorders>
            <w:shd w:val="clear" w:color="000000" w:fill="99FF99"/>
            <w:vAlign w:val="center"/>
            <w:hideMark/>
          </w:tcPr>
          <w:p w14:paraId="45FF6DF2"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7329ABD0"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20B12EA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1E8ECA61" w14:textId="77777777" w:rsidTr="00F63922">
        <w:trPr>
          <w:trHeight w:val="816"/>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7851D7C3"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33</w:t>
            </w:r>
          </w:p>
        </w:tc>
        <w:tc>
          <w:tcPr>
            <w:tcW w:w="3756" w:type="dxa"/>
            <w:tcBorders>
              <w:top w:val="nil"/>
              <w:left w:val="nil"/>
              <w:bottom w:val="single" w:sz="4" w:space="0" w:color="auto"/>
              <w:right w:val="nil"/>
            </w:tcBorders>
            <w:shd w:val="clear" w:color="000000" w:fill="99FF99"/>
            <w:vAlign w:val="center"/>
            <w:hideMark/>
          </w:tcPr>
          <w:p w14:paraId="0B0BB96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pour le nettoyage et le reconditionnement de fûts, conteneurs et citernes ayant contenus des substances dangereuses (substances caractérisées par une mention de danger "H")</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BD4FA7D"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Inrichtingen voor het schoonmaken en </w:t>
            </w:r>
            <w:proofErr w:type="spellStart"/>
            <w:r w:rsidRPr="009E2D9F">
              <w:rPr>
                <w:rFonts w:ascii="Arial" w:eastAsia="Times New Roman" w:hAnsi="Arial" w:cs="Arial"/>
                <w:sz w:val="16"/>
                <w:szCs w:val="16"/>
                <w:lang w:val="nl-BE" w:eastAsia="fr-BE"/>
              </w:rPr>
              <w:t>herconditioneren</w:t>
            </w:r>
            <w:proofErr w:type="spellEnd"/>
            <w:r w:rsidRPr="009E2D9F">
              <w:rPr>
                <w:rFonts w:ascii="Arial" w:eastAsia="Times New Roman" w:hAnsi="Arial" w:cs="Arial"/>
                <w:sz w:val="16"/>
                <w:szCs w:val="16"/>
                <w:lang w:val="nl-BE" w:eastAsia="fr-BE"/>
              </w:rPr>
              <w:t xml:space="preserve"> van vaten, containers en tanken die gevaarlijke stoffen hebben bevat (stoffen gekarakteriseerd door een </w:t>
            </w:r>
            <w:proofErr w:type="spellStart"/>
            <w:r w:rsidRPr="009E2D9F">
              <w:rPr>
                <w:rFonts w:ascii="Arial" w:eastAsia="Times New Roman" w:hAnsi="Arial" w:cs="Arial"/>
                <w:sz w:val="16"/>
                <w:szCs w:val="16"/>
                <w:lang w:val="nl-BE" w:eastAsia="fr-BE"/>
              </w:rPr>
              <w:t>gevaarseigenschap</w:t>
            </w:r>
            <w:proofErr w:type="spellEnd"/>
            <w:r w:rsidRPr="009E2D9F">
              <w:rPr>
                <w:rFonts w:ascii="Arial" w:eastAsia="Times New Roman" w:hAnsi="Arial" w:cs="Arial"/>
                <w:sz w:val="16"/>
                <w:szCs w:val="16"/>
                <w:lang w:val="nl-BE" w:eastAsia="fr-BE"/>
              </w:rPr>
              <w:t xml:space="preserve"> "H")</w:t>
            </w:r>
          </w:p>
        </w:tc>
        <w:tc>
          <w:tcPr>
            <w:tcW w:w="567" w:type="dxa"/>
            <w:tcBorders>
              <w:top w:val="nil"/>
              <w:left w:val="nil"/>
              <w:bottom w:val="single" w:sz="4" w:space="0" w:color="auto"/>
              <w:right w:val="nil"/>
            </w:tcBorders>
            <w:shd w:val="clear" w:color="000000" w:fill="99FF99"/>
            <w:vAlign w:val="center"/>
            <w:hideMark/>
          </w:tcPr>
          <w:p w14:paraId="149A653B"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022A376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des activités à risque si les substances visées sont classées selon le règlement CLP comme présentant un risque ou un danger envers la santé autre que corrosif et irritant, ou envers l’environnement autre que pour la couche d’ozone*</w:t>
            </w:r>
          </w:p>
        </w:tc>
        <w:tc>
          <w:tcPr>
            <w:tcW w:w="2835" w:type="dxa"/>
            <w:tcBorders>
              <w:top w:val="nil"/>
              <w:left w:val="nil"/>
              <w:bottom w:val="single" w:sz="4" w:space="0" w:color="auto"/>
              <w:right w:val="single" w:sz="8" w:space="0" w:color="auto"/>
            </w:tcBorders>
            <w:shd w:val="clear" w:color="000000" w:fill="CCFFCC"/>
            <w:vAlign w:val="center"/>
            <w:hideMark/>
          </w:tcPr>
          <w:p w14:paraId="289CB31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Zijn risicoactiviteiten als de bedoelde substanties volgens de CLP-verordening geklasseerd zijn als producten die een risico of een gevaar voor de gezondheid inhouden, anders dan corrosief en irriterend, of voor het leefmilieu, anders dan voor de ozonlaag*</w:t>
            </w:r>
          </w:p>
        </w:tc>
      </w:tr>
      <w:tr w:rsidR="009E2D9F" w:rsidRPr="009E2D9F" w14:paraId="4BEF8B6D"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66F6B9FC" w14:textId="4A7BBB1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34 A</w:t>
            </w:r>
          </w:p>
        </w:tc>
        <w:tc>
          <w:tcPr>
            <w:tcW w:w="3756" w:type="dxa"/>
            <w:tcBorders>
              <w:top w:val="nil"/>
              <w:left w:val="nil"/>
              <w:bottom w:val="single" w:sz="4" w:space="0" w:color="auto"/>
              <w:right w:val="nil"/>
            </w:tcBorders>
            <w:shd w:val="clear" w:color="000000" w:fill="99FF99"/>
            <w:vAlign w:val="center"/>
            <w:hideMark/>
          </w:tcPr>
          <w:p w14:paraId="0A4BD5C3"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Cokeries, installations industrielles pour la transformation chimique des combustibles solides non visés à la rubrique 39, jusqu'à 500 tonnes/jour</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1A5456FC"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Cokesfabrieken, industriële inrichtingen voor het chemisch omzetten van vaste, niet in rubriek 39 bedoelde brandstoffen,) tot en met 500 ton/dag</w:t>
            </w:r>
          </w:p>
        </w:tc>
        <w:tc>
          <w:tcPr>
            <w:tcW w:w="567" w:type="dxa"/>
            <w:tcBorders>
              <w:top w:val="nil"/>
              <w:left w:val="nil"/>
              <w:bottom w:val="single" w:sz="4" w:space="0" w:color="auto"/>
              <w:right w:val="nil"/>
            </w:tcBorders>
            <w:shd w:val="clear" w:color="000000" w:fill="99FF99"/>
            <w:vAlign w:val="center"/>
            <w:hideMark/>
          </w:tcPr>
          <w:p w14:paraId="3099BD6A"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15046A5F"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65717056"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9E2D9F" w14:paraId="3FD9D5D3"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3FC4BBED"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210</w:t>
            </w:r>
          </w:p>
        </w:tc>
        <w:tc>
          <w:tcPr>
            <w:tcW w:w="3756" w:type="dxa"/>
            <w:tcBorders>
              <w:top w:val="nil"/>
              <w:left w:val="nil"/>
              <w:bottom w:val="single" w:sz="4" w:space="0" w:color="auto"/>
              <w:right w:val="nil"/>
            </w:tcBorders>
            <w:shd w:val="clear" w:color="000000" w:fill="99FF99"/>
            <w:vAlign w:val="center"/>
            <w:hideMark/>
          </w:tcPr>
          <w:p w14:paraId="7B1CA721"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Cokeries, installations industrielles pour la transformation chimique des combustibles solides non visés à la rubrique 39, de plus de 500 t/j</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1544885D"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Cokesfabrieken, industriële inrichtingen voor het chemisch omzetten van vaste, niet in rubriek 39 bedoelde brandstoffen, meer dan 500 t/dag</w:t>
            </w:r>
          </w:p>
        </w:tc>
        <w:tc>
          <w:tcPr>
            <w:tcW w:w="567" w:type="dxa"/>
            <w:tcBorders>
              <w:top w:val="nil"/>
              <w:left w:val="nil"/>
              <w:bottom w:val="single" w:sz="4" w:space="0" w:color="auto"/>
              <w:right w:val="nil"/>
            </w:tcBorders>
            <w:shd w:val="clear" w:color="000000" w:fill="99FF99"/>
            <w:vAlign w:val="center"/>
            <w:hideMark/>
          </w:tcPr>
          <w:p w14:paraId="01301681"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2CDC079D"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101CE715"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9E2D9F" w14:paraId="0BD6640A" w14:textId="77777777" w:rsidTr="00F63922">
        <w:trPr>
          <w:trHeight w:val="816"/>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22ECE2E6" w14:textId="35CD0FB5"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37 A</w:t>
            </w:r>
          </w:p>
        </w:tc>
        <w:tc>
          <w:tcPr>
            <w:tcW w:w="3756" w:type="dxa"/>
            <w:tcBorders>
              <w:top w:val="nil"/>
              <w:left w:val="nil"/>
              <w:bottom w:val="single" w:sz="4" w:space="0" w:color="auto"/>
              <w:right w:val="nil"/>
            </w:tcBorders>
            <w:shd w:val="clear" w:color="000000" w:fill="99FF99"/>
            <w:vAlign w:val="center"/>
            <w:hideMark/>
          </w:tcPr>
          <w:p w14:paraId="68E5B00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pour le traitement et la transformation mécanique de combustibles solides avec une force motrice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xml:space="preserve">a) comprise entre 2 et 20 kW </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4E9E7187"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Inrichtingen voor de verwerking en mechanische omzetting van vaste brandstoffen, met een drijfkracht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a) tussen 2 tot en met 20 kW </w:t>
            </w:r>
          </w:p>
        </w:tc>
        <w:tc>
          <w:tcPr>
            <w:tcW w:w="567" w:type="dxa"/>
            <w:tcBorders>
              <w:top w:val="nil"/>
              <w:left w:val="nil"/>
              <w:bottom w:val="single" w:sz="4" w:space="0" w:color="auto"/>
              <w:right w:val="nil"/>
            </w:tcBorders>
            <w:shd w:val="clear" w:color="000000" w:fill="99FF99"/>
            <w:vAlign w:val="center"/>
            <w:hideMark/>
          </w:tcPr>
          <w:p w14:paraId="2F762D5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63B678FC"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6A4C4A97"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9E2D9F" w14:paraId="5983388E" w14:textId="77777777" w:rsidTr="00F63922">
        <w:trPr>
          <w:trHeight w:val="1224"/>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3AC89DAA" w14:textId="375D1B4D"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37 B</w:t>
            </w:r>
          </w:p>
        </w:tc>
        <w:tc>
          <w:tcPr>
            <w:tcW w:w="3756" w:type="dxa"/>
            <w:tcBorders>
              <w:top w:val="nil"/>
              <w:left w:val="nil"/>
              <w:bottom w:val="single" w:sz="4" w:space="0" w:color="auto"/>
              <w:right w:val="nil"/>
            </w:tcBorders>
            <w:shd w:val="clear" w:color="000000" w:fill="99FF99"/>
            <w:vAlign w:val="center"/>
            <w:hideMark/>
          </w:tcPr>
          <w:p w14:paraId="0BB4CEF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pour le traitement et la transformation mécanique de combustibles solides avec une force motrice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xml:space="preserve">b) de plus de 20 kW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Agglomération industrielle de houille et de lignite</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32740C2E"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Inrichtingen voor de verwerking en mechanische omzetting van vaste brandstoffen, met een drijfkracht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b) groter dan 20 kW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Industrieel briketteren van steenkool en bruinkool</w:t>
            </w:r>
          </w:p>
        </w:tc>
        <w:tc>
          <w:tcPr>
            <w:tcW w:w="567" w:type="dxa"/>
            <w:tcBorders>
              <w:top w:val="nil"/>
              <w:left w:val="nil"/>
              <w:bottom w:val="single" w:sz="4" w:space="0" w:color="auto"/>
              <w:right w:val="nil"/>
            </w:tcBorders>
            <w:shd w:val="clear" w:color="000000" w:fill="99FF99"/>
            <w:vAlign w:val="center"/>
            <w:hideMark/>
          </w:tcPr>
          <w:p w14:paraId="29041AA0"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1D7E44C5"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1020E87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078B90CA" w14:textId="77777777" w:rsidTr="00F63922">
        <w:trPr>
          <w:trHeight w:val="816"/>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1A1D8E2F" w14:textId="6B250E58"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38 B</w:t>
            </w:r>
          </w:p>
        </w:tc>
        <w:tc>
          <w:tcPr>
            <w:tcW w:w="3756" w:type="dxa"/>
            <w:tcBorders>
              <w:top w:val="nil"/>
              <w:left w:val="nil"/>
              <w:bottom w:val="single" w:sz="4" w:space="0" w:color="auto"/>
              <w:right w:val="nil"/>
            </w:tcBorders>
            <w:shd w:val="clear" w:color="000000" w:fill="99FF99"/>
            <w:vAlign w:val="center"/>
            <w:hideMark/>
          </w:tcPr>
          <w:p w14:paraId="2521F02C"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Dépôts de combustibles solides dont la surface totale destinée au stockage est :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 de plus de 2.000 m²</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2078B0C"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vaste brandstoffen met een voor opslag bestemde totaaloppervlakte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b) groter dan 2.000 m²</w:t>
            </w:r>
          </w:p>
        </w:tc>
        <w:tc>
          <w:tcPr>
            <w:tcW w:w="567" w:type="dxa"/>
            <w:tcBorders>
              <w:top w:val="nil"/>
              <w:left w:val="nil"/>
              <w:bottom w:val="single" w:sz="4" w:space="0" w:color="auto"/>
              <w:right w:val="nil"/>
            </w:tcBorders>
            <w:shd w:val="clear" w:color="000000" w:fill="99FF99"/>
            <w:vAlign w:val="center"/>
            <w:hideMark/>
          </w:tcPr>
          <w:p w14:paraId="166E14A4"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181AA3C8"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exclusivement considérés comme des activités à risque: les dépôts de charbon et de ses dérivés</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5109FF1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de opslagplaatsen van kolen en zijn derivaten</w:t>
            </w:r>
          </w:p>
        </w:tc>
      </w:tr>
      <w:tr w:rsidR="009E2D9F" w:rsidRPr="003D427D" w14:paraId="0C05599C"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103E45CA" w14:textId="438C7EA9"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39 A</w:t>
            </w:r>
          </w:p>
        </w:tc>
        <w:tc>
          <w:tcPr>
            <w:tcW w:w="3756" w:type="dxa"/>
            <w:tcBorders>
              <w:top w:val="nil"/>
              <w:left w:val="nil"/>
              <w:bottom w:val="single" w:sz="4" w:space="0" w:color="auto"/>
              <w:right w:val="nil"/>
            </w:tcBorders>
            <w:shd w:val="clear" w:color="000000" w:fill="99FF99"/>
            <w:vAlign w:val="center"/>
            <w:hideMark/>
          </w:tcPr>
          <w:p w14:paraId="11633818"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industrielles de gazéification et de liquéfaction de tous produits carbonés jusqu'à 500 t/j</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66BAF96"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Industriële inrichtingen voor het vergassen en vloeibaar maken van alle </w:t>
            </w:r>
            <w:proofErr w:type="spellStart"/>
            <w:r w:rsidRPr="009E2D9F">
              <w:rPr>
                <w:rFonts w:ascii="Arial" w:eastAsia="Times New Roman" w:hAnsi="Arial" w:cs="Arial"/>
                <w:sz w:val="16"/>
                <w:szCs w:val="16"/>
                <w:lang w:val="nl-BE" w:eastAsia="fr-BE"/>
              </w:rPr>
              <w:t>koolstofhoudende</w:t>
            </w:r>
            <w:proofErr w:type="spellEnd"/>
            <w:r w:rsidRPr="009E2D9F">
              <w:rPr>
                <w:rFonts w:ascii="Arial" w:eastAsia="Times New Roman" w:hAnsi="Arial" w:cs="Arial"/>
                <w:sz w:val="16"/>
                <w:szCs w:val="16"/>
                <w:lang w:val="nl-BE" w:eastAsia="fr-BE"/>
              </w:rPr>
              <w:t xml:space="preserve"> producten tot 500 t/dag</w:t>
            </w:r>
          </w:p>
        </w:tc>
        <w:tc>
          <w:tcPr>
            <w:tcW w:w="567" w:type="dxa"/>
            <w:tcBorders>
              <w:top w:val="nil"/>
              <w:left w:val="nil"/>
              <w:bottom w:val="single" w:sz="4" w:space="0" w:color="auto"/>
              <w:right w:val="nil"/>
            </w:tcBorders>
            <w:shd w:val="clear" w:color="000000" w:fill="99FF99"/>
            <w:vAlign w:val="center"/>
            <w:hideMark/>
          </w:tcPr>
          <w:p w14:paraId="0C3BD02F"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1B </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6DAE4183"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Ne sont pas considérées comme des activités à risque: les installations de gazéification de produits d'origine végétale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51141F65"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niet als risicoactiviteiten beschouwd: de inrichtingen voor het vergassen van producten van plantaardige oorsprong </w:t>
            </w:r>
          </w:p>
        </w:tc>
      </w:tr>
      <w:tr w:rsidR="009E2D9F" w:rsidRPr="003D427D" w14:paraId="1785BA79"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444B6913" w14:textId="6739337E"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211 B</w:t>
            </w:r>
          </w:p>
        </w:tc>
        <w:tc>
          <w:tcPr>
            <w:tcW w:w="3756" w:type="dxa"/>
            <w:tcBorders>
              <w:top w:val="nil"/>
              <w:left w:val="nil"/>
              <w:bottom w:val="single" w:sz="4" w:space="0" w:color="auto"/>
              <w:right w:val="nil"/>
            </w:tcBorders>
            <w:shd w:val="clear" w:color="000000" w:fill="99FF99"/>
            <w:vAlign w:val="center"/>
            <w:hideMark/>
          </w:tcPr>
          <w:p w14:paraId="64BEBFD1"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industrielles de gazéification et de liquéfaction de tous produits carbonés de plus de 500 t/j.</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04D1A925"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Industriële inrichtingen voor het vergassen en vloeibaar maken van alle </w:t>
            </w:r>
            <w:proofErr w:type="spellStart"/>
            <w:r w:rsidRPr="009E2D9F">
              <w:rPr>
                <w:rFonts w:ascii="Arial" w:eastAsia="Times New Roman" w:hAnsi="Arial" w:cs="Arial"/>
                <w:sz w:val="16"/>
                <w:szCs w:val="16"/>
                <w:lang w:val="nl-BE" w:eastAsia="fr-BE"/>
              </w:rPr>
              <w:t>koolstofhoudende</w:t>
            </w:r>
            <w:proofErr w:type="spellEnd"/>
            <w:r w:rsidRPr="009E2D9F">
              <w:rPr>
                <w:rFonts w:ascii="Arial" w:eastAsia="Times New Roman" w:hAnsi="Arial" w:cs="Arial"/>
                <w:sz w:val="16"/>
                <w:szCs w:val="16"/>
                <w:lang w:val="nl-BE" w:eastAsia="fr-BE"/>
              </w:rPr>
              <w:t xml:space="preserve"> producten meer dan 500 t/dag.</w:t>
            </w:r>
          </w:p>
        </w:tc>
        <w:tc>
          <w:tcPr>
            <w:tcW w:w="567" w:type="dxa"/>
            <w:tcBorders>
              <w:top w:val="nil"/>
              <w:left w:val="nil"/>
              <w:bottom w:val="single" w:sz="4" w:space="0" w:color="auto"/>
              <w:right w:val="nil"/>
            </w:tcBorders>
            <w:shd w:val="clear" w:color="000000" w:fill="99FF99"/>
            <w:vAlign w:val="center"/>
            <w:hideMark/>
          </w:tcPr>
          <w:p w14:paraId="7A52995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4DD1F247"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Ne sont pas considérées comme des activités à risque: les installations de gazéification de produits d'origine végétale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0A486CE1"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niet als risicoactiviteiten beschouwd: de inrichtingen voor het vergassen van producten van plantaardige oorsprong </w:t>
            </w:r>
          </w:p>
        </w:tc>
      </w:tr>
      <w:tr w:rsidR="009E2D9F" w:rsidRPr="003D427D" w14:paraId="70F883DA" w14:textId="77777777" w:rsidTr="00F63922">
        <w:trPr>
          <w:trHeight w:val="612"/>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004F796B"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41.2</w:t>
            </w:r>
          </w:p>
        </w:tc>
        <w:tc>
          <w:tcPr>
            <w:tcW w:w="3756" w:type="dxa"/>
            <w:tcBorders>
              <w:top w:val="nil"/>
              <w:left w:val="nil"/>
              <w:bottom w:val="single" w:sz="4" w:space="0" w:color="auto"/>
              <w:right w:val="nil"/>
            </w:tcBorders>
            <w:shd w:val="clear" w:color="000000" w:fill="99FF99"/>
            <w:vAlign w:val="center"/>
            <w:hideMark/>
          </w:tcPr>
          <w:p w14:paraId="6C5DFBC9"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Centres de biométhanisation</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6C9137CD" w14:textId="77777777" w:rsidR="009E2D9F" w:rsidRPr="009E2D9F" w:rsidRDefault="009E2D9F" w:rsidP="009E2D9F">
            <w:pPr>
              <w:spacing w:after="0" w:line="240" w:lineRule="auto"/>
              <w:rPr>
                <w:rFonts w:ascii="Arial" w:eastAsia="Times New Roman" w:hAnsi="Arial" w:cs="Arial"/>
                <w:sz w:val="16"/>
                <w:szCs w:val="16"/>
                <w:lang w:eastAsia="fr-BE"/>
              </w:rPr>
            </w:pPr>
            <w:proofErr w:type="spellStart"/>
            <w:r w:rsidRPr="009E2D9F">
              <w:rPr>
                <w:rFonts w:ascii="Arial" w:eastAsia="Times New Roman" w:hAnsi="Arial" w:cs="Arial"/>
                <w:sz w:val="16"/>
                <w:szCs w:val="16"/>
                <w:lang w:eastAsia="fr-BE"/>
              </w:rPr>
              <w:t>Biomethaniseercentra</w:t>
            </w:r>
            <w:proofErr w:type="spellEnd"/>
          </w:p>
        </w:tc>
        <w:tc>
          <w:tcPr>
            <w:tcW w:w="567" w:type="dxa"/>
            <w:tcBorders>
              <w:top w:val="nil"/>
              <w:left w:val="nil"/>
              <w:bottom w:val="single" w:sz="4" w:space="0" w:color="auto"/>
              <w:right w:val="nil"/>
            </w:tcBorders>
            <w:shd w:val="clear" w:color="000000" w:fill="99FF99"/>
            <w:vAlign w:val="center"/>
            <w:hideMark/>
          </w:tcPr>
          <w:p w14:paraId="1A16AF2F"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734B4D5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Ne sont pas considérées comme activité à risque : les centres de biométhanisation ne traitant que des déchets ou des produits d’origine végétale</w:t>
            </w:r>
          </w:p>
        </w:tc>
        <w:tc>
          <w:tcPr>
            <w:tcW w:w="2835" w:type="dxa"/>
            <w:tcBorders>
              <w:top w:val="nil"/>
              <w:left w:val="nil"/>
              <w:bottom w:val="single" w:sz="4" w:space="0" w:color="auto"/>
              <w:right w:val="single" w:sz="8" w:space="0" w:color="auto"/>
            </w:tcBorders>
            <w:shd w:val="clear" w:color="000000" w:fill="CCFFCC"/>
            <w:vAlign w:val="center"/>
            <w:hideMark/>
          </w:tcPr>
          <w:p w14:paraId="2AE36723"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niet als </w:t>
            </w:r>
            <w:proofErr w:type="spellStart"/>
            <w:r w:rsidRPr="009E2D9F">
              <w:rPr>
                <w:rFonts w:ascii="Arial" w:eastAsia="Times New Roman" w:hAnsi="Arial" w:cs="Arial"/>
                <w:sz w:val="16"/>
                <w:szCs w:val="16"/>
                <w:lang w:val="nl-BE" w:eastAsia="fr-BE"/>
              </w:rPr>
              <w:t>risicoactiveiten</w:t>
            </w:r>
            <w:proofErr w:type="spellEnd"/>
            <w:r w:rsidRPr="009E2D9F">
              <w:rPr>
                <w:rFonts w:ascii="Arial" w:eastAsia="Times New Roman" w:hAnsi="Arial" w:cs="Arial"/>
                <w:sz w:val="16"/>
                <w:szCs w:val="16"/>
                <w:lang w:val="nl-BE" w:eastAsia="fr-BE"/>
              </w:rPr>
              <w:t xml:space="preserve"> beschouwd : de </w:t>
            </w:r>
            <w:proofErr w:type="spellStart"/>
            <w:r w:rsidRPr="009E2D9F">
              <w:rPr>
                <w:rFonts w:ascii="Arial" w:eastAsia="Times New Roman" w:hAnsi="Arial" w:cs="Arial"/>
                <w:sz w:val="16"/>
                <w:szCs w:val="16"/>
                <w:lang w:val="nl-BE" w:eastAsia="fr-BE"/>
              </w:rPr>
              <w:t>biomethaniseercentra</w:t>
            </w:r>
            <w:proofErr w:type="spellEnd"/>
            <w:r w:rsidRPr="009E2D9F">
              <w:rPr>
                <w:rFonts w:ascii="Arial" w:eastAsia="Times New Roman" w:hAnsi="Arial" w:cs="Arial"/>
                <w:sz w:val="16"/>
                <w:szCs w:val="16"/>
                <w:lang w:val="nl-BE" w:eastAsia="fr-BE"/>
              </w:rPr>
              <w:t xml:space="preserve"> die enkel afvalstoffen of producten van plantaardige oorsprong verwerken</w:t>
            </w:r>
          </w:p>
        </w:tc>
      </w:tr>
      <w:tr w:rsidR="009E2D9F" w:rsidRPr="003D427D" w14:paraId="6F50683A" w14:textId="77777777" w:rsidTr="00F63922">
        <w:trPr>
          <w:trHeight w:val="1020"/>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08E72FBF" w14:textId="00851C4B"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 xml:space="preserve">45.1 </w:t>
            </w:r>
            <w:r w:rsidR="00DF3998">
              <w:rPr>
                <w:rFonts w:ascii="Arial" w:eastAsia="Times New Roman" w:hAnsi="Arial" w:cs="Arial"/>
                <w:b/>
                <w:bCs/>
                <w:sz w:val="16"/>
                <w:szCs w:val="16"/>
                <w:lang w:eastAsia="fr-BE"/>
              </w:rPr>
              <w:t>B</w:t>
            </w:r>
          </w:p>
        </w:tc>
        <w:tc>
          <w:tcPr>
            <w:tcW w:w="3756" w:type="dxa"/>
            <w:tcBorders>
              <w:top w:val="nil"/>
              <w:left w:val="nil"/>
              <w:bottom w:val="single" w:sz="4" w:space="0" w:color="auto"/>
              <w:right w:val="nil"/>
            </w:tcBorders>
            <w:shd w:val="clear" w:color="000000" w:fill="99FF99"/>
            <w:vAlign w:val="center"/>
            <w:hideMark/>
          </w:tcPr>
          <w:p w14:paraId="550FBDED" w14:textId="5601825D"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déchets dangereux, dont la surface totale destinée au stockage sur le site est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 supérieure à 5 m²</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7F608E2" w14:textId="12C7614E"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gevaarlijke afvalstoffen, met een voor opslag bestemde totale oppervlakte:</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B </w:t>
            </w:r>
            <w:r w:rsidR="00A56B19">
              <w:rPr>
                <w:rFonts w:ascii="Arial" w:eastAsia="Times New Roman" w:hAnsi="Arial" w:cs="Arial"/>
                <w:sz w:val="16"/>
                <w:szCs w:val="16"/>
                <w:lang w:val="nl-BE" w:eastAsia="fr-BE"/>
              </w:rPr>
              <w:t>groter</w:t>
            </w:r>
            <w:r w:rsidRPr="009E2D9F">
              <w:rPr>
                <w:rFonts w:ascii="Arial" w:eastAsia="Times New Roman" w:hAnsi="Arial" w:cs="Arial"/>
                <w:sz w:val="16"/>
                <w:szCs w:val="16"/>
                <w:lang w:val="nl-BE" w:eastAsia="fr-BE"/>
              </w:rPr>
              <w:t xml:space="preserve"> dan 5 m²</w:t>
            </w:r>
          </w:p>
        </w:tc>
        <w:tc>
          <w:tcPr>
            <w:tcW w:w="567" w:type="dxa"/>
            <w:tcBorders>
              <w:top w:val="nil"/>
              <w:left w:val="nil"/>
              <w:bottom w:val="single" w:sz="4" w:space="0" w:color="auto"/>
              <w:right w:val="nil"/>
            </w:tcBorders>
            <w:shd w:val="clear" w:color="000000" w:fill="99FF99"/>
            <w:vAlign w:val="center"/>
            <w:hideMark/>
          </w:tcPr>
          <w:p w14:paraId="14BFB380"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1955F079"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exclusivement considérés comme activités à risque : les dépôts de déchets dangereux si les substances visées sont classées selon le règlement CLP comme présentant un risque ou un danger envers la santé autre que corrosif et irritant, ou envers l'environnement autre que pour la couche d'ozone*</w:t>
            </w:r>
          </w:p>
        </w:tc>
        <w:tc>
          <w:tcPr>
            <w:tcW w:w="2835" w:type="dxa"/>
            <w:tcBorders>
              <w:top w:val="nil"/>
              <w:left w:val="nil"/>
              <w:bottom w:val="single" w:sz="4" w:space="0" w:color="auto"/>
              <w:right w:val="single" w:sz="8" w:space="0" w:color="auto"/>
            </w:tcBorders>
            <w:shd w:val="clear" w:color="000000" w:fill="CCFFCC"/>
            <w:vAlign w:val="center"/>
            <w:hideMark/>
          </w:tcPr>
          <w:p w14:paraId="10F70390"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w:t>
            </w:r>
            <w:r w:rsidRPr="009E2D9F">
              <w:rPr>
                <w:rFonts w:ascii="Arial" w:eastAsia="Times New Roman" w:hAnsi="Arial" w:cs="Arial"/>
                <w:sz w:val="16"/>
                <w:szCs w:val="16"/>
                <w:lang w:val="nl-BE" w:eastAsia="fr-BE"/>
              </w:rPr>
              <w:br/>
              <w:t>beschouwd: de opslagplaatsen van  gevaarlijke  afvalstoffen als de bedoelde substanties volgens de CLP-verordening geklasseerd zijn als producten die een risico of een gevaar voor de gezondheid inhouden, anders dan corrosief en irriterend, of voor het leefmilieu, anders dan voor de ozonlaag*</w:t>
            </w:r>
          </w:p>
        </w:tc>
      </w:tr>
      <w:tr w:rsidR="009E2D9F" w:rsidRPr="003D427D" w14:paraId="6AAA6B69" w14:textId="77777777" w:rsidTr="00F63922">
        <w:trPr>
          <w:trHeight w:val="1680"/>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7ABB6CC2" w14:textId="3D48869B"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45.2 B</w:t>
            </w:r>
          </w:p>
        </w:tc>
        <w:tc>
          <w:tcPr>
            <w:tcW w:w="3756" w:type="dxa"/>
            <w:tcBorders>
              <w:top w:val="nil"/>
              <w:left w:val="nil"/>
              <w:bottom w:val="single" w:sz="4" w:space="0" w:color="auto"/>
              <w:right w:val="nil"/>
            </w:tcBorders>
            <w:shd w:val="clear" w:color="000000" w:fill="99FF99"/>
            <w:vAlign w:val="center"/>
            <w:hideMark/>
          </w:tcPr>
          <w:p w14:paraId="04DA5F2C"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déchets dangereux liquides dont le point d’éclair est inférieur à 21°C d’une capacité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 supérieure à 500l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4881D7FA"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vloeibare</w:t>
            </w:r>
            <w:r w:rsidRPr="009E2D9F">
              <w:rPr>
                <w:rFonts w:ascii="Arial" w:eastAsia="Times New Roman" w:hAnsi="Arial" w:cs="Arial"/>
                <w:sz w:val="16"/>
                <w:szCs w:val="16"/>
                <w:lang w:val="nl-BE" w:eastAsia="fr-BE"/>
              </w:rPr>
              <w:br/>
              <w:t>gevaarlijke afvalstoffen met een vlampunt lager dan of gelijk aan 21°C met een capaciteit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B van meer dan 500l</w:t>
            </w:r>
          </w:p>
        </w:tc>
        <w:tc>
          <w:tcPr>
            <w:tcW w:w="567" w:type="dxa"/>
            <w:tcBorders>
              <w:top w:val="nil"/>
              <w:left w:val="nil"/>
              <w:bottom w:val="single" w:sz="4" w:space="0" w:color="auto"/>
              <w:right w:val="nil"/>
            </w:tcBorders>
            <w:shd w:val="clear" w:color="000000" w:fill="99FF99"/>
            <w:vAlign w:val="center"/>
            <w:hideMark/>
          </w:tcPr>
          <w:p w14:paraId="38477D1C"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299769EC"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activités à risque : les dépôts de déchets dangereux liquides </w:t>
            </w:r>
            <w:proofErr w:type="spellStart"/>
            <w:r w:rsidRPr="009E2D9F">
              <w:rPr>
                <w:rFonts w:ascii="Arial" w:eastAsia="Times New Roman" w:hAnsi="Arial" w:cs="Arial"/>
                <w:sz w:val="16"/>
                <w:szCs w:val="16"/>
                <w:lang w:eastAsia="fr-BE"/>
              </w:rPr>
              <w:t>inﬂammables</w:t>
            </w:r>
            <w:proofErr w:type="spellEnd"/>
            <w:r w:rsidRPr="009E2D9F">
              <w:rPr>
                <w:rFonts w:ascii="Arial" w:eastAsia="Times New Roman" w:hAnsi="Arial" w:cs="Arial"/>
                <w:sz w:val="16"/>
                <w:szCs w:val="16"/>
                <w:lang w:eastAsia="fr-BE"/>
              </w:rPr>
              <w:t xml:space="preserve"> si les substances visées sont classées selon le règlement CLP comme présentant un risque ou un danger envers la santé autre que corrosif et irritant, ou envers l’environnement autre que pour la couche d’ozone*</w:t>
            </w:r>
          </w:p>
        </w:tc>
        <w:tc>
          <w:tcPr>
            <w:tcW w:w="2835" w:type="dxa"/>
            <w:tcBorders>
              <w:top w:val="nil"/>
              <w:left w:val="nil"/>
              <w:bottom w:val="single" w:sz="4" w:space="0" w:color="auto"/>
              <w:right w:val="single" w:sz="8" w:space="0" w:color="auto"/>
            </w:tcBorders>
            <w:shd w:val="clear" w:color="000000" w:fill="CCFFCC"/>
            <w:vAlign w:val="center"/>
            <w:hideMark/>
          </w:tcPr>
          <w:p w14:paraId="30C758E7"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w:t>
            </w:r>
            <w:r w:rsidRPr="009E2D9F">
              <w:rPr>
                <w:rFonts w:ascii="Arial" w:eastAsia="Times New Roman" w:hAnsi="Arial" w:cs="Arial"/>
                <w:sz w:val="16"/>
                <w:szCs w:val="16"/>
                <w:lang w:val="nl-BE" w:eastAsia="fr-BE"/>
              </w:rPr>
              <w:br/>
              <w:t>beschouwd: de opslagplaatsen van vloeibare gevaarlijke ontvlambare afvalstoffen als de bedoelde substanties volgens de CLP-verordening geklasseerd zijn als producten die een risico of een gevaar voor de gezondheid inhouden, anders dan corrosief en irriterend, of voor het leefmilieu, anders dan voor de ozonlaag*</w:t>
            </w:r>
          </w:p>
        </w:tc>
      </w:tr>
      <w:tr w:rsidR="009E2D9F" w:rsidRPr="003D427D" w14:paraId="24ECAD29" w14:textId="77777777" w:rsidTr="00F63922">
        <w:trPr>
          <w:trHeight w:val="166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26E77EA7" w14:textId="73F6C9A1"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45.3 A</w:t>
            </w:r>
          </w:p>
        </w:tc>
        <w:tc>
          <w:tcPr>
            <w:tcW w:w="3756" w:type="dxa"/>
            <w:tcBorders>
              <w:top w:val="nil"/>
              <w:left w:val="nil"/>
              <w:bottom w:val="single" w:sz="4" w:space="0" w:color="auto"/>
              <w:right w:val="nil"/>
            </w:tcBorders>
            <w:shd w:val="clear" w:color="000000" w:fill="99FF99"/>
            <w:vAlign w:val="center"/>
            <w:hideMark/>
          </w:tcPr>
          <w:p w14:paraId="086CCEA2" w14:textId="05ECA72F"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déchets dangereux liquides d’une capacité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A comprise entre 100 et 5.000 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13FCEAE" w14:textId="62D6723D"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vloeibare gevaarlijke afvalstoffen met een capaciteit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A van 100 tot en met 5.000 l</w:t>
            </w:r>
          </w:p>
        </w:tc>
        <w:tc>
          <w:tcPr>
            <w:tcW w:w="567" w:type="dxa"/>
            <w:tcBorders>
              <w:top w:val="nil"/>
              <w:left w:val="nil"/>
              <w:bottom w:val="single" w:sz="4" w:space="0" w:color="auto"/>
              <w:right w:val="nil"/>
            </w:tcBorders>
            <w:shd w:val="clear" w:color="000000" w:fill="99FF99"/>
            <w:vAlign w:val="center"/>
            <w:hideMark/>
          </w:tcPr>
          <w:p w14:paraId="17E8BB0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565C093B" w14:textId="57E988E4"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exclusivement considérés comme activités à risque : les dépôts de déchets dangereux liquides de plus de 2000 litres et si les substances visées sont classées selon le règlement CLP comme présentant un risque ou un danger envers la santé autre que corrosif et irritant, ou envers l’environnement autre que pour la couche d’ozone*</w:t>
            </w:r>
          </w:p>
        </w:tc>
        <w:tc>
          <w:tcPr>
            <w:tcW w:w="2835" w:type="dxa"/>
            <w:tcBorders>
              <w:top w:val="nil"/>
              <w:left w:val="nil"/>
              <w:bottom w:val="single" w:sz="4" w:space="0" w:color="auto"/>
              <w:right w:val="single" w:sz="8" w:space="0" w:color="auto"/>
            </w:tcBorders>
            <w:shd w:val="clear" w:color="000000" w:fill="CCFFCC"/>
            <w:vAlign w:val="center"/>
            <w:hideMark/>
          </w:tcPr>
          <w:p w14:paraId="23DB08C8" w14:textId="353580E6"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w:t>
            </w:r>
            <w:r w:rsidRPr="009E2D9F">
              <w:rPr>
                <w:rFonts w:ascii="Arial" w:eastAsia="Times New Roman" w:hAnsi="Arial" w:cs="Arial"/>
                <w:sz w:val="16"/>
                <w:szCs w:val="16"/>
                <w:lang w:val="nl-BE" w:eastAsia="fr-BE"/>
              </w:rPr>
              <w:br/>
              <w:t>beschouwd: de opslagplaatsen van vloeibare gevaarlijke afvalstoffen  van meer dan 2000 liter  en als de bedoelde substanties volgens de CLP-verordening geklasseerd zijn als producten die een risico of een gevaar voor de gezondheid inhouden, anders dan corrosief en irriterend, of voor het leefmilieu, anders dan voor de ozonlaag*</w:t>
            </w:r>
          </w:p>
        </w:tc>
      </w:tr>
      <w:tr w:rsidR="009E2D9F" w:rsidRPr="003D427D" w14:paraId="2AD66E49" w14:textId="77777777" w:rsidTr="00F63922">
        <w:trPr>
          <w:trHeight w:val="1224"/>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26BBC2D5" w14:textId="310B435C"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45.3 B</w:t>
            </w:r>
          </w:p>
        </w:tc>
        <w:tc>
          <w:tcPr>
            <w:tcW w:w="3756" w:type="dxa"/>
            <w:tcBorders>
              <w:top w:val="nil"/>
              <w:left w:val="nil"/>
              <w:bottom w:val="single" w:sz="4" w:space="0" w:color="auto"/>
              <w:right w:val="nil"/>
            </w:tcBorders>
            <w:shd w:val="clear" w:color="000000" w:fill="99FF99"/>
            <w:vAlign w:val="center"/>
            <w:hideMark/>
          </w:tcPr>
          <w:p w14:paraId="601D53FD" w14:textId="609ECAE0"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déchets dangereux liquides d’une capacité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 supérieure à 5.000 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602BE9B3" w14:textId="2C8B89B0"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vloeibare gevaarlijke afvalstoffen met een capaciteit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B </w:t>
            </w:r>
            <w:r w:rsidR="00DF3998">
              <w:rPr>
                <w:rFonts w:ascii="Arial" w:eastAsia="Times New Roman" w:hAnsi="Arial" w:cs="Arial"/>
                <w:sz w:val="16"/>
                <w:szCs w:val="16"/>
                <w:lang w:val="nl-BE" w:eastAsia="fr-BE"/>
              </w:rPr>
              <w:t>groter</w:t>
            </w:r>
            <w:r w:rsidRPr="009E2D9F">
              <w:rPr>
                <w:rFonts w:ascii="Arial" w:eastAsia="Times New Roman" w:hAnsi="Arial" w:cs="Arial"/>
                <w:sz w:val="16"/>
                <w:szCs w:val="16"/>
                <w:lang w:val="nl-BE" w:eastAsia="fr-BE"/>
              </w:rPr>
              <w:t xml:space="preserve"> dan 5.000 l</w:t>
            </w:r>
          </w:p>
        </w:tc>
        <w:tc>
          <w:tcPr>
            <w:tcW w:w="567" w:type="dxa"/>
            <w:tcBorders>
              <w:top w:val="nil"/>
              <w:left w:val="nil"/>
              <w:bottom w:val="single" w:sz="4" w:space="0" w:color="auto"/>
              <w:right w:val="nil"/>
            </w:tcBorders>
            <w:shd w:val="clear" w:color="000000" w:fill="99FF99"/>
            <w:vAlign w:val="center"/>
            <w:hideMark/>
          </w:tcPr>
          <w:p w14:paraId="0FB15B3C"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2205D328" w14:textId="002DF8F0"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exclusivement considérés comme activités à risque : les dépôts de déchets dangereux liquides de plus de 2000 litres et si les substances visées sont classées selon le règlement CLP comme présentant un risque ou un danger envers la santé autre que corrosif et irritant, ou envers l’environnement autre que pour la couche d’ozone*</w:t>
            </w:r>
          </w:p>
        </w:tc>
        <w:tc>
          <w:tcPr>
            <w:tcW w:w="2835" w:type="dxa"/>
            <w:tcBorders>
              <w:top w:val="nil"/>
              <w:left w:val="nil"/>
              <w:bottom w:val="single" w:sz="4" w:space="0" w:color="auto"/>
              <w:right w:val="single" w:sz="8" w:space="0" w:color="auto"/>
            </w:tcBorders>
            <w:shd w:val="clear" w:color="000000" w:fill="CCFFCC"/>
            <w:vAlign w:val="center"/>
            <w:hideMark/>
          </w:tcPr>
          <w:p w14:paraId="54826E83" w14:textId="7EB3B40C"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w:t>
            </w:r>
            <w:r w:rsidRPr="009E2D9F">
              <w:rPr>
                <w:rFonts w:ascii="Arial" w:eastAsia="Times New Roman" w:hAnsi="Arial" w:cs="Arial"/>
                <w:sz w:val="16"/>
                <w:szCs w:val="16"/>
                <w:lang w:val="nl-BE" w:eastAsia="fr-BE"/>
              </w:rPr>
              <w:br/>
              <w:t>beschouwd: de opslagplaatsen van vloeibare gevaarlijke afvalstoffen  van meer dan 2000 liter  en als de bedoelde substanties volgens de CLP-verordening geklasseerd zijn als producten die een risico of een gevaar voor de gezondheid inhouden, anders dan corrosief en irriterend, of voor het leefmilieu, anders dan voor de ozonlaag*</w:t>
            </w:r>
          </w:p>
        </w:tc>
      </w:tr>
      <w:tr w:rsidR="009E2D9F" w:rsidRPr="009E2D9F" w14:paraId="3C31254D"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7F51A010"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214</w:t>
            </w:r>
          </w:p>
        </w:tc>
        <w:tc>
          <w:tcPr>
            <w:tcW w:w="3756" w:type="dxa"/>
            <w:tcBorders>
              <w:top w:val="nil"/>
              <w:left w:val="nil"/>
              <w:bottom w:val="single" w:sz="4" w:space="0" w:color="auto"/>
              <w:right w:val="nil"/>
            </w:tcBorders>
            <w:shd w:val="clear" w:color="000000" w:fill="99FF99"/>
            <w:vAlign w:val="center"/>
            <w:hideMark/>
          </w:tcPr>
          <w:p w14:paraId="50203A4F"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déchets dangereux (à l'exception des huiles résiduaires reprises en rubrique n° 80) d'une capacité de plus de 500 tonnes.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7F69B5F2"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gevaarlijke afvalstoffen (met uitzondering van afvaloliën uit rubriek 80) met een capaciteit van meer dan 500 ton.</w:t>
            </w:r>
          </w:p>
        </w:tc>
        <w:tc>
          <w:tcPr>
            <w:tcW w:w="567" w:type="dxa"/>
            <w:tcBorders>
              <w:top w:val="nil"/>
              <w:left w:val="nil"/>
              <w:bottom w:val="single" w:sz="4" w:space="0" w:color="auto"/>
              <w:right w:val="nil"/>
            </w:tcBorders>
            <w:shd w:val="clear" w:color="000000" w:fill="99FF99"/>
            <w:vAlign w:val="center"/>
            <w:hideMark/>
          </w:tcPr>
          <w:p w14:paraId="15760F8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6D3EAFBE"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18E8F5F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69E34F65" w14:textId="77777777" w:rsidTr="00DB01CF">
        <w:trPr>
          <w:trHeight w:val="2705"/>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4470DEA1"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46</w:t>
            </w:r>
          </w:p>
        </w:tc>
        <w:tc>
          <w:tcPr>
            <w:tcW w:w="3756" w:type="dxa"/>
            <w:tcBorders>
              <w:top w:val="nil"/>
              <w:left w:val="nil"/>
              <w:bottom w:val="single" w:sz="4" w:space="0" w:color="auto"/>
              <w:right w:val="nil"/>
            </w:tcBorders>
            <w:shd w:val="clear" w:color="000000" w:fill="99FF99"/>
            <w:vAlign w:val="center"/>
            <w:hideMark/>
          </w:tcPr>
          <w:p w14:paraId="24C163DD" w14:textId="4F0F3EA6"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Installations ou équipements pour le traitement de déchets dangereux </w:t>
            </w:r>
            <w:r w:rsidR="00DF3998">
              <w:rPr>
                <w:rFonts w:ascii="Arial" w:eastAsia="Times New Roman" w:hAnsi="Arial" w:cs="Arial"/>
                <w:sz w:val="16"/>
                <w:szCs w:val="16"/>
                <w:lang w:eastAsia="fr-BE"/>
              </w:rPr>
              <w:t>y compris la collecte et le dépôt</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A20EE3A" w14:textId="153A696F"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Inrichtingen of uitrusting voor de verwerking van gevaarlijke afvalstoffen</w:t>
            </w:r>
            <w:r w:rsidR="00A56B19">
              <w:rPr>
                <w:rFonts w:ascii="Arial" w:eastAsia="Times New Roman" w:hAnsi="Arial" w:cs="Arial"/>
                <w:sz w:val="16"/>
                <w:szCs w:val="16"/>
                <w:lang w:val="nl-BE" w:eastAsia="fr-BE"/>
              </w:rPr>
              <w:t xml:space="preserve"> </w:t>
            </w:r>
            <w:r w:rsidRPr="009E2D9F">
              <w:rPr>
                <w:rFonts w:ascii="Arial" w:eastAsia="Times New Roman" w:hAnsi="Arial" w:cs="Arial"/>
                <w:sz w:val="16"/>
                <w:szCs w:val="16"/>
                <w:lang w:val="nl-BE" w:eastAsia="fr-BE"/>
              </w:rPr>
              <w:t>met</w:t>
            </w:r>
            <w:r w:rsidR="00DF3998">
              <w:rPr>
                <w:rFonts w:ascii="Arial" w:eastAsia="Times New Roman" w:hAnsi="Arial" w:cs="Arial"/>
                <w:sz w:val="16"/>
                <w:szCs w:val="16"/>
                <w:lang w:val="nl-BE" w:eastAsia="fr-BE"/>
              </w:rPr>
              <w:t xml:space="preserve"> inbegrip van de inzameling en de opslag</w:t>
            </w:r>
            <w:r w:rsidRPr="009E2D9F">
              <w:rPr>
                <w:rFonts w:ascii="Arial" w:eastAsia="Times New Roman" w:hAnsi="Arial" w:cs="Arial"/>
                <w:sz w:val="16"/>
                <w:szCs w:val="16"/>
                <w:lang w:val="nl-BE" w:eastAsia="fr-BE"/>
              </w:rPr>
              <w:br/>
            </w:r>
          </w:p>
        </w:tc>
        <w:tc>
          <w:tcPr>
            <w:tcW w:w="567" w:type="dxa"/>
            <w:tcBorders>
              <w:top w:val="nil"/>
              <w:left w:val="nil"/>
              <w:bottom w:val="single" w:sz="4" w:space="0" w:color="auto"/>
              <w:right w:val="nil"/>
            </w:tcBorders>
            <w:shd w:val="clear" w:color="000000" w:fill="99FF99"/>
            <w:vAlign w:val="center"/>
            <w:hideMark/>
          </w:tcPr>
          <w:p w14:paraId="4C5FF1D9" w14:textId="230EAA4B" w:rsidR="009E2D9F" w:rsidRPr="009E2D9F" w:rsidRDefault="009E2D9F" w:rsidP="009E2D9F">
            <w:pPr>
              <w:spacing w:after="0" w:line="240" w:lineRule="auto"/>
              <w:jc w:val="center"/>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w:t>
            </w:r>
            <w:r w:rsidR="00DF3998">
              <w:rPr>
                <w:rFonts w:ascii="Arial" w:eastAsia="Times New Roman" w:hAnsi="Arial" w:cs="Arial"/>
                <w:sz w:val="16"/>
                <w:szCs w:val="16"/>
                <w:lang w:val="nl-BE"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3BBCEE1F" w14:textId="5DAF6014" w:rsidR="00DF3998"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Ne sont pas considérées comme des activités à risque :</w:t>
            </w:r>
            <w:r w:rsidR="00DF3998">
              <w:rPr>
                <w:rFonts w:ascii="Arial" w:eastAsia="Times New Roman" w:hAnsi="Arial" w:cs="Arial"/>
                <w:sz w:val="16"/>
                <w:szCs w:val="16"/>
                <w:lang w:eastAsia="fr-BE"/>
              </w:rPr>
              <w:t xml:space="preserve"> </w:t>
            </w:r>
          </w:p>
          <w:p w14:paraId="2C05C5B2" w14:textId="130621EB" w:rsidR="00DF3998" w:rsidRDefault="00DF3998" w:rsidP="00DF3998">
            <w:pPr>
              <w:pStyle w:val="ListParagraph"/>
              <w:numPr>
                <w:ilvl w:val="0"/>
                <w:numId w:val="1"/>
              </w:numPr>
              <w:spacing w:after="0" w:line="240" w:lineRule="auto"/>
              <w:rPr>
                <w:rFonts w:ascii="Arial" w:eastAsia="Times New Roman" w:hAnsi="Arial" w:cs="Arial"/>
                <w:sz w:val="16"/>
                <w:szCs w:val="16"/>
                <w:lang w:eastAsia="fr-BE"/>
              </w:rPr>
            </w:pPr>
            <w:r>
              <w:rPr>
                <w:rFonts w:ascii="Arial" w:eastAsia="Times New Roman" w:hAnsi="Arial" w:cs="Arial"/>
                <w:sz w:val="16"/>
                <w:szCs w:val="16"/>
                <w:lang w:eastAsia="fr-BE"/>
              </w:rPr>
              <w:t>les installations de traitement des déchets d’équipements électriques et électroniques</w:t>
            </w:r>
          </w:p>
          <w:p w14:paraId="6D500212" w14:textId="77777777" w:rsidR="00DF3998" w:rsidRPr="00DB01CF" w:rsidRDefault="00DF3998" w:rsidP="00DF3998">
            <w:pPr>
              <w:spacing w:after="0" w:line="240" w:lineRule="auto"/>
              <w:rPr>
                <w:rFonts w:ascii="Arial" w:eastAsia="Times New Roman" w:hAnsi="Arial" w:cs="Arial"/>
                <w:sz w:val="16"/>
                <w:szCs w:val="16"/>
                <w:lang w:eastAsia="fr-BE"/>
              </w:rPr>
            </w:pPr>
          </w:p>
          <w:p w14:paraId="17CDF650" w14:textId="7CEB84C3" w:rsidR="009E2D9F" w:rsidRPr="003D427D" w:rsidRDefault="00DF3998" w:rsidP="00DB01CF">
            <w:pPr>
              <w:pStyle w:val="ListParagraph"/>
              <w:numPr>
                <w:ilvl w:val="0"/>
                <w:numId w:val="1"/>
              </w:numPr>
              <w:spacing w:after="0" w:line="240" w:lineRule="auto"/>
              <w:rPr>
                <w:rFonts w:ascii="Arial" w:eastAsia="Times New Roman" w:hAnsi="Arial" w:cs="Arial"/>
                <w:sz w:val="16"/>
                <w:szCs w:val="16"/>
                <w:lang w:eastAsia="fr-BE"/>
              </w:rPr>
            </w:pPr>
            <w:r>
              <w:rPr>
                <w:rFonts w:ascii="Arial" w:eastAsia="Times New Roman" w:hAnsi="Arial" w:cs="Arial"/>
                <w:sz w:val="16"/>
                <w:szCs w:val="16"/>
                <w:lang w:eastAsia="fr-BE"/>
              </w:rPr>
              <w:t xml:space="preserve">les </w:t>
            </w:r>
            <w:r w:rsidR="009E2D9F" w:rsidRPr="003D427D">
              <w:rPr>
                <w:rFonts w:ascii="Arial" w:eastAsia="Times New Roman" w:hAnsi="Arial" w:cs="Arial"/>
                <w:sz w:val="16"/>
                <w:szCs w:val="16"/>
                <w:lang w:eastAsia="fr-BE"/>
              </w:rPr>
              <w:t>appareils de distillation de solvants usagés d’une capacité totale inférieure à 250 litres et destinés exclusivement au traitement des solvants provenant de l’établissement</w:t>
            </w:r>
          </w:p>
        </w:tc>
        <w:tc>
          <w:tcPr>
            <w:tcW w:w="2835" w:type="dxa"/>
            <w:tcBorders>
              <w:top w:val="nil"/>
              <w:left w:val="nil"/>
              <w:bottom w:val="single" w:sz="4" w:space="0" w:color="auto"/>
              <w:right w:val="single" w:sz="8" w:space="0" w:color="auto"/>
            </w:tcBorders>
            <w:shd w:val="clear" w:color="000000" w:fill="CCFFCC"/>
            <w:vAlign w:val="center"/>
            <w:hideMark/>
          </w:tcPr>
          <w:p w14:paraId="2BC6E7CB" w14:textId="77777777" w:rsidR="001B4782"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niet als risicoactiviteiten beschouwd: </w:t>
            </w:r>
          </w:p>
          <w:p w14:paraId="0A5374CE" w14:textId="77777777" w:rsidR="001B4782" w:rsidRDefault="001B4782" w:rsidP="001B4782">
            <w:pPr>
              <w:pStyle w:val="ListParagraph"/>
              <w:numPr>
                <w:ilvl w:val="0"/>
                <w:numId w:val="1"/>
              </w:numPr>
              <w:spacing w:after="0" w:line="240" w:lineRule="auto"/>
              <w:rPr>
                <w:rFonts w:ascii="Arial" w:eastAsia="Times New Roman" w:hAnsi="Arial" w:cs="Arial"/>
                <w:sz w:val="16"/>
                <w:szCs w:val="16"/>
                <w:lang w:val="nl-BE" w:eastAsia="fr-BE"/>
              </w:rPr>
            </w:pPr>
            <w:r>
              <w:rPr>
                <w:rFonts w:ascii="Arial" w:eastAsia="Times New Roman" w:hAnsi="Arial" w:cs="Arial"/>
                <w:sz w:val="16"/>
                <w:szCs w:val="16"/>
                <w:lang w:val="nl-BE" w:eastAsia="fr-BE"/>
              </w:rPr>
              <w:t>de verwerkingsinrichtingen voor afgedankte elektrische en elektronische apparatuur</w:t>
            </w:r>
          </w:p>
          <w:p w14:paraId="35E95EC5" w14:textId="77777777" w:rsidR="001B4782" w:rsidRDefault="001B4782" w:rsidP="00DB01CF">
            <w:pPr>
              <w:pStyle w:val="ListParagraph"/>
              <w:spacing w:after="0" w:line="240" w:lineRule="auto"/>
              <w:ind w:left="360"/>
              <w:rPr>
                <w:rFonts w:ascii="Arial" w:eastAsia="Times New Roman" w:hAnsi="Arial" w:cs="Arial"/>
                <w:sz w:val="16"/>
                <w:szCs w:val="16"/>
                <w:lang w:val="nl-BE" w:eastAsia="fr-BE"/>
              </w:rPr>
            </w:pPr>
          </w:p>
          <w:p w14:paraId="536F24CB" w14:textId="72512AF1" w:rsidR="009E2D9F" w:rsidRPr="00DB01CF" w:rsidRDefault="001B4782" w:rsidP="00DB01CF">
            <w:pPr>
              <w:pStyle w:val="ListParagraph"/>
              <w:numPr>
                <w:ilvl w:val="0"/>
                <w:numId w:val="1"/>
              </w:numPr>
              <w:spacing w:after="0" w:line="240" w:lineRule="auto"/>
              <w:rPr>
                <w:rFonts w:ascii="Arial" w:eastAsia="Times New Roman" w:hAnsi="Arial" w:cs="Arial"/>
                <w:sz w:val="16"/>
                <w:szCs w:val="16"/>
                <w:lang w:val="nl-BE" w:eastAsia="fr-BE"/>
              </w:rPr>
            </w:pPr>
            <w:r>
              <w:rPr>
                <w:rFonts w:ascii="Arial" w:eastAsia="Times New Roman" w:hAnsi="Arial" w:cs="Arial"/>
                <w:sz w:val="16"/>
                <w:szCs w:val="16"/>
                <w:lang w:val="nl-BE" w:eastAsia="fr-BE"/>
              </w:rPr>
              <w:t xml:space="preserve">de </w:t>
            </w:r>
            <w:r w:rsidR="009E2D9F" w:rsidRPr="00DB01CF">
              <w:rPr>
                <w:rFonts w:ascii="Arial" w:eastAsia="Times New Roman" w:hAnsi="Arial" w:cs="Arial"/>
                <w:sz w:val="16"/>
                <w:szCs w:val="16"/>
                <w:lang w:val="nl-BE" w:eastAsia="fr-BE"/>
              </w:rPr>
              <w:t xml:space="preserve">apparaten voor de distillatie van gebruikte </w:t>
            </w:r>
            <w:proofErr w:type="spellStart"/>
            <w:r w:rsidR="009E2D9F" w:rsidRPr="00DB01CF">
              <w:rPr>
                <w:rFonts w:ascii="Arial" w:eastAsia="Times New Roman" w:hAnsi="Arial" w:cs="Arial"/>
                <w:sz w:val="16"/>
                <w:szCs w:val="16"/>
                <w:lang w:val="nl-BE" w:eastAsia="fr-BE"/>
              </w:rPr>
              <w:t>solventen</w:t>
            </w:r>
            <w:proofErr w:type="spellEnd"/>
            <w:r w:rsidR="009E2D9F" w:rsidRPr="00DB01CF">
              <w:rPr>
                <w:rFonts w:ascii="Arial" w:eastAsia="Times New Roman" w:hAnsi="Arial" w:cs="Arial"/>
                <w:sz w:val="16"/>
                <w:szCs w:val="16"/>
                <w:lang w:val="nl-BE" w:eastAsia="fr-BE"/>
              </w:rPr>
              <w:t xml:space="preserve"> met een totale capaciteit lager dan 250 liter en enkel bestemd voor de behandeling van </w:t>
            </w:r>
            <w:proofErr w:type="spellStart"/>
            <w:r w:rsidR="009E2D9F" w:rsidRPr="00DB01CF">
              <w:rPr>
                <w:rFonts w:ascii="Arial" w:eastAsia="Times New Roman" w:hAnsi="Arial" w:cs="Arial"/>
                <w:sz w:val="16"/>
                <w:szCs w:val="16"/>
                <w:lang w:val="nl-BE" w:eastAsia="fr-BE"/>
              </w:rPr>
              <w:t>solventen</w:t>
            </w:r>
            <w:proofErr w:type="spellEnd"/>
            <w:r w:rsidR="009E2D9F" w:rsidRPr="00DB01CF">
              <w:rPr>
                <w:rFonts w:ascii="Arial" w:eastAsia="Times New Roman" w:hAnsi="Arial" w:cs="Arial"/>
                <w:sz w:val="16"/>
                <w:szCs w:val="16"/>
                <w:lang w:val="nl-BE" w:eastAsia="fr-BE"/>
              </w:rPr>
              <w:t xml:space="preserve"> afkomstig van de inrichting</w:t>
            </w:r>
          </w:p>
        </w:tc>
      </w:tr>
      <w:tr w:rsidR="009E2D9F" w:rsidRPr="003D427D" w14:paraId="2BECC595" w14:textId="77777777" w:rsidTr="00F63922">
        <w:trPr>
          <w:trHeight w:val="1224"/>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5069B2C0" w14:textId="682584A5"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47</w:t>
            </w:r>
            <w:r w:rsidR="001B4782">
              <w:rPr>
                <w:rFonts w:ascii="Arial" w:eastAsia="Times New Roman" w:hAnsi="Arial" w:cs="Arial"/>
                <w:b/>
                <w:bCs/>
                <w:sz w:val="16"/>
                <w:szCs w:val="16"/>
                <w:lang w:eastAsia="fr-BE"/>
              </w:rPr>
              <w:t xml:space="preserve"> B</w:t>
            </w:r>
          </w:p>
        </w:tc>
        <w:tc>
          <w:tcPr>
            <w:tcW w:w="3756" w:type="dxa"/>
            <w:tcBorders>
              <w:top w:val="nil"/>
              <w:left w:val="nil"/>
              <w:bottom w:val="single" w:sz="4" w:space="0" w:color="auto"/>
              <w:right w:val="nil"/>
            </w:tcBorders>
            <w:shd w:val="clear" w:color="000000" w:fill="99FF99"/>
            <w:vAlign w:val="center"/>
            <w:hideMark/>
          </w:tcPr>
          <w:p w14:paraId="23B28FF5" w14:textId="32F538E6"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déchets non dangereux</w:t>
            </w:r>
            <w:r w:rsidR="001B4782">
              <w:rPr>
                <w:rFonts w:ascii="Arial" w:eastAsia="Times New Roman" w:hAnsi="Arial" w:cs="Arial"/>
                <w:sz w:val="16"/>
                <w:szCs w:val="16"/>
                <w:lang w:eastAsia="fr-BE"/>
              </w:rPr>
              <w:t xml:space="preserve"> </w:t>
            </w:r>
            <w:r w:rsidRPr="009E2D9F">
              <w:rPr>
                <w:rFonts w:ascii="Arial" w:eastAsia="Times New Roman" w:hAnsi="Arial" w:cs="Arial"/>
                <w:sz w:val="16"/>
                <w:szCs w:val="16"/>
                <w:lang w:eastAsia="fr-BE"/>
              </w:rPr>
              <w:t xml:space="preserve"> dont la surface totale destinée au stockage sur le site est supérieure à 2000 m²</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144961FB" w14:textId="56CE9261"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niet gevaarlijke afvalstoffen met een voor opslag bestemde totale oppervlakte</w:t>
            </w:r>
            <w:r w:rsidR="001B4782">
              <w:rPr>
                <w:rFonts w:ascii="Arial" w:eastAsia="Times New Roman" w:hAnsi="Arial" w:cs="Arial"/>
                <w:sz w:val="16"/>
                <w:szCs w:val="16"/>
                <w:lang w:val="nl-BE" w:eastAsia="fr-BE"/>
              </w:rPr>
              <w:t xml:space="preserve"> groter </w:t>
            </w:r>
            <w:r w:rsidRPr="009E2D9F">
              <w:rPr>
                <w:rFonts w:ascii="Arial" w:eastAsia="Times New Roman" w:hAnsi="Arial" w:cs="Arial"/>
                <w:sz w:val="16"/>
                <w:szCs w:val="16"/>
                <w:lang w:val="nl-BE" w:eastAsia="fr-BE"/>
              </w:rPr>
              <w:t>dan 2000 m²</w:t>
            </w:r>
          </w:p>
        </w:tc>
        <w:tc>
          <w:tcPr>
            <w:tcW w:w="567" w:type="dxa"/>
            <w:tcBorders>
              <w:top w:val="nil"/>
              <w:left w:val="nil"/>
              <w:bottom w:val="single" w:sz="4" w:space="0" w:color="auto"/>
              <w:right w:val="nil"/>
            </w:tcBorders>
            <w:shd w:val="clear" w:color="000000" w:fill="99FF99"/>
            <w:vAlign w:val="center"/>
            <w:hideMark/>
          </w:tcPr>
          <w:p w14:paraId="5E409899" w14:textId="663BF6F4" w:rsidR="009E2D9F" w:rsidRPr="009E2D9F" w:rsidRDefault="009E2D9F" w:rsidP="009E2D9F">
            <w:pPr>
              <w:spacing w:after="0" w:line="240" w:lineRule="auto"/>
              <w:jc w:val="center"/>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w:t>
            </w:r>
            <w:r w:rsidR="001B4782">
              <w:rPr>
                <w:rFonts w:ascii="Arial" w:eastAsia="Times New Roman" w:hAnsi="Arial" w:cs="Arial"/>
                <w:sz w:val="16"/>
                <w:szCs w:val="16"/>
                <w:lang w:val="nl-BE"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6F2B0B2F"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Ne sont pas considérés comme des activités à risque : les dépôts de déchets non dangereux inertes</w:t>
            </w:r>
          </w:p>
        </w:tc>
        <w:tc>
          <w:tcPr>
            <w:tcW w:w="2835" w:type="dxa"/>
            <w:tcBorders>
              <w:top w:val="nil"/>
              <w:left w:val="nil"/>
              <w:bottom w:val="single" w:sz="4" w:space="0" w:color="auto"/>
              <w:right w:val="single" w:sz="8" w:space="0" w:color="auto"/>
            </w:tcBorders>
            <w:shd w:val="clear" w:color="000000" w:fill="CCFFCC"/>
            <w:vAlign w:val="center"/>
            <w:hideMark/>
          </w:tcPr>
          <w:p w14:paraId="6158EF9A"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niet als risicoactiviteiten beschouwd : de opslagplaatsen van niet gevaarlijke inerte afvalstoffen</w:t>
            </w:r>
          </w:p>
        </w:tc>
      </w:tr>
      <w:tr w:rsidR="009E2D9F" w:rsidRPr="009E2D9F" w14:paraId="44B40DE5" w14:textId="77777777" w:rsidTr="00F63922">
        <w:trPr>
          <w:trHeight w:val="28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3564A86A"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215</w:t>
            </w:r>
          </w:p>
        </w:tc>
        <w:tc>
          <w:tcPr>
            <w:tcW w:w="3756" w:type="dxa"/>
            <w:tcBorders>
              <w:top w:val="nil"/>
              <w:left w:val="nil"/>
              <w:bottom w:val="single" w:sz="4" w:space="0" w:color="auto"/>
              <w:right w:val="single" w:sz="4" w:space="0" w:color="auto"/>
            </w:tcBorders>
            <w:shd w:val="clear" w:color="000000" w:fill="99FF99"/>
            <w:vAlign w:val="center"/>
            <w:hideMark/>
          </w:tcPr>
          <w:p w14:paraId="4D291481"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Décharges de déchets dangereux.</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3C046969" w14:textId="77777777" w:rsidR="009E2D9F" w:rsidRPr="009E2D9F" w:rsidRDefault="009E2D9F" w:rsidP="009E2D9F">
            <w:pPr>
              <w:spacing w:after="0" w:line="240" w:lineRule="auto"/>
              <w:rPr>
                <w:rFonts w:ascii="Arial" w:eastAsia="Times New Roman" w:hAnsi="Arial" w:cs="Arial"/>
                <w:sz w:val="16"/>
                <w:szCs w:val="16"/>
                <w:lang w:eastAsia="fr-BE"/>
              </w:rPr>
            </w:pPr>
            <w:proofErr w:type="spellStart"/>
            <w:r w:rsidRPr="009E2D9F">
              <w:rPr>
                <w:rFonts w:ascii="Arial" w:eastAsia="Times New Roman" w:hAnsi="Arial" w:cs="Arial"/>
                <w:sz w:val="16"/>
                <w:szCs w:val="16"/>
                <w:lang w:eastAsia="fr-BE"/>
              </w:rPr>
              <w:t>Stortplaatsen</w:t>
            </w:r>
            <w:proofErr w:type="spellEnd"/>
            <w:r w:rsidRPr="009E2D9F">
              <w:rPr>
                <w:rFonts w:ascii="Arial" w:eastAsia="Times New Roman" w:hAnsi="Arial" w:cs="Arial"/>
                <w:sz w:val="16"/>
                <w:szCs w:val="16"/>
                <w:lang w:eastAsia="fr-BE"/>
              </w:rPr>
              <w:t xml:space="preserve"> </w:t>
            </w:r>
            <w:proofErr w:type="spellStart"/>
            <w:r w:rsidRPr="009E2D9F">
              <w:rPr>
                <w:rFonts w:ascii="Arial" w:eastAsia="Times New Roman" w:hAnsi="Arial" w:cs="Arial"/>
                <w:sz w:val="16"/>
                <w:szCs w:val="16"/>
                <w:lang w:eastAsia="fr-BE"/>
              </w:rPr>
              <w:t>voor</w:t>
            </w:r>
            <w:proofErr w:type="spellEnd"/>
            <w:r w:rsidRPr="009E2D9F">
              <w:rPr>
                <w:rFonts w:ascii="Arial" w:eastAsia="Times New Roman" w:hAnsi="Arial" w:cs="Arial"/>
                <w:sz w:val="16"/>
                <w:szCs w:val="16"/>
                <w:lang w:eastAsia="fr-BE"/>
              </w:rPr>
              <w:t xml:space="preserve"> </w:t>
            </w:r>
            <w:proofErr w:type="spellStart"/>
            <w:r w:rsidRPr="009E2D9F">
              <w:rPr>
                <w:rFonts w:ascii="Arial" w:eastAsia="Times New Roman" w:hAnsi="Arial" w:cs="Arial"/>
                <w:sz w:val="16"/>
                <w:szCs w:val="16"/>
                <w:lang w:eastAsia="fr-BE"/>
              </w:rPr>
              <w:t>gevaarlijke</w:t>
            </w:r>
            <w:proofErr w:type="spellEnd"/>
            <w:r w:rsidRPr="009E2D9F">
              <w:rPr>
                <w:rFonts w:ascii="Arial" w:eastAsia="Times New Roman" w:hAnsi="Arial" w:cs="Arial"/>
                <w:sz w:val="16"/>
                <w:szCs w:val="16"/>
                <w:lang w:eastAsia="fr-BE"/>
              </w:rPr>
              <w:t xml:space="preserve"> </w:t>
            </w:r>
            <w:proofErr w:type="spellStart"/>
            <w:r w:rsidRPr="009E2D9F">
              <w:rPr>
                <w:rFonts w:ascii="Arial" w:eastAsia="Times New Roman" w:hAnsi="Arial" w:cs="Arial"/>
                <w:sz w:val="16"/>
                <w:szCs w:val="16"/>
                <w:lang w:eastAsia="fr-BE"/>
              </w:rPr>
              <w:t>afvalstoffen</w:t>
            </w:r>
            <w:proofErr w:type="spellEnd"/>
            <w:r w:rsidRPr="009E2D9F">
              <w:rPr>
                <w:rFonts w:ascii="Arial" w:eastAsia="Times New Roman" w:hAnsi="Arial" w:cs="Arial"/>
                <w:sz w:val="16"/>
                <w:szCs w:val="16"/>
                <w:lang w:eastAsia="fr-BE"/>
              </w:rPr>
              <w:t>.</w:t>
            </w:r>
          </w:p>
        </w:tc>
        <w:tc>
          <w:tcPr>
            <w:tcW w:w="567" w:type="dxa"/>
            <w:tcBorders>
              <w:top w:val="single" w:sz="4" w:space="0" w:color="auto"/>
              <w:left w:val="nil"/>
              <w:bottom w:val="single" w:sz="4" w:space="0" w:color="auto"/>
              <w:right w:val="single" w:sz="4" w:space="0" w:color="auto"/>
            </w:tcBorders>
            <w:shd w:val="clear" w:color="000000" w:fill="99FF99"/>
            <w:vAlign w:val="center"/>
            <w:hideMark/>
          </w:tcPr>
          <w:p w14:paraId="104CC51A"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nil"/>
              <w:left w:val="nil"/>
              <w:bottom w:val="single" w:sz="4" w:space="0" w:color="auto"/>
              <w:right w:val="single" w:sz="4" w:space="0" w:color="auto"/>
            </w:tcBorders>
            <w:shd w:val="clear" w:color="000000" w:fill="CCFFCC"/>
            <w:vAlign w:val="center"/>
            <w:hideMark/>
          </w:tcPr>
          <w:p w14:paraId="6C3235C2"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5D453FF9"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9E2D9F" w14:paraId="281EBFE2"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4A85ED3F"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217</w:t>
            </w:r>
          </w:p>
        </w:tc>
        <w:tc>
          <w:tcPr>
            <w:tcW w:w="3756" w:type="dxa"/>
            <w:tcBorders>
              <w:top w:val="nil"/>
              <w:left w:val="nil"/>
              <w:bottom w:val="single" w:sz="4" w:space="0" w:color="auto"/>
              <w:right w:val="single" w:sz="4" w:space="0" w:color="auto"/>
            </w:tcBorders>
            <w:shd w:val="clear" w:color="000000" w:fill="99FF99"/>
            <w:vAlign w:val="center"/>
            <w:hideMark/>
          </w:tcPr>
          <w:p w14:paraId="781B5FB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Usines d'élimination de déchets par traitement chimique.</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4D3378B2"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Fabrieken voor de verwijdering van afvalstoffen door scheikundige behandeling.</w:t>
            </w:r>
          </w:p>
        </w:tc>
        <w:tc>
          <w:tcPr>
            <w:tcW w:w="567" w:type="dxa"/>
            <w:tcBorders>
              <w:top w:val="nil"/>
              <w:left w:val="nil"/>
              <w:bottom w:val="single" w:sz="4" w:space="0" w:color="auto"/>
              <w:right w:val="single" w:sz="4" w:space="0" w:color="auto"/>
            </w:tcBorders>
            <w:shd w:val="clear" w:color="000000" w:fill="99FF99"/>
            <w:vAlign w:val="center"/>
            <w:hideMark/>
          </w:tcPr>
          <w:p w14:paraId="4AAA2BB1"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nil"/>
              <w:left w:val="nil"/>
              <w:bottom w:val="single" w:sz="4" w:space="0" w:color="auto"/>
              <w:right w:val="single" w:sz="4" w:space="0" w:color="auto"/>
            </w:tcBorders>
            <w:shd w:val="clear" w:color="000000" w:fill="CCFFCC"/>
            <w:vAlign w:val="center"/>
            <w:hideMark/>
          </w:tcPr>
          <w:p w14:paraId="7D5AF5C5"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259389E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9E2D9F" w14:paraId="581BDCD5" w14:textId="77777777" w:rsidTr="00F63922">
        <w:trPr>
          <w:trHeight w:val="816"/>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3EB40DD4"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218</w:t>
            </w:r>
          </w:p>
        </w:tc>
        <w:tc>
          <w:tcPr>
            <w:tcW w:w="3756" w:type="dxa"/>
            <w:tcBorders>
              <w:top w:val="nil"/>
              <w:left w:val="nil"/>
              <w:bottom w:val="single" w:sz="4" w:space="0" w:color="auto"/>
              <w:right w:val="single" w:sz="4" w:space="0" w:color="auto"/>
            </w:tcBorders>
            <w:shd w:val="clear" w:color="000000" w:fill="99FF99"/>
            <w:vAlign w:val="center"/>
            <w:hideMark/>
          </w:tcPr>
          <w:p w14:paraId="75CE3E3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Décharges de déchets non dangereux (à l'exclusion des terres non contaminées et des déchets de construction ou de démolition de bâtiments à caractère d'habitation ne contenant pas de matériaux putrescibles ou inflammables).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043636D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Stortplaatsen voor ongevaarlijke afvalstoffen (met uitzondering van de niet-verontreinigde gronden en van het bouw- en sloopafval van gebouwen bestemd voor de bewoning waarin zich geen bederfbare of ontvlambare materialen bevinden).</w:t>
            </w:r>
          </w:p>
        </w:tc>
        <w:tc>
          <w:tcPr>
            <w:tcW w:w="567" w:type="dxa"/>
            <w:tcBorders>
              <w:top w:val="nil"/>
              <w:left w:val="nil"/>
              <w:bottom w:val="single" w:sz="4" w:space="0" w:color="auto"/>
              <w:right w:val="single" w:sz="4" w:space="0" w:color="auto"/>
            </w:tcBorders>
            <w:shd w:val="clear" w:color="000000" w:fill="99FF99"/>
            <w:vAlign w:val="center"/>
            <w:hideMark/>
          </w:tcPr>
          <w:p w14:paraId="2EE20AF4"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nil"/>
              <w:left w:val="nil"/>
              <w:bottom w:val="single" w:sz="4" w:space="0" w:color="auto"/>
              <w:right w:val="single" w:sz="4" w:space="0" w:color="auto"/>
            </w:tcBorders>
            <w:shd w:val="clear" w:color="000000" w:fill="CCFFCC"/>
            <w:vAlign w:val="center"/>
            <w:hideMark/>
          </w:tcPr>
          <w:p w14:paraId="30CB055D"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779988A3"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7CDD7C8C" w14:textId="77777777" w:rsidTr="00F63922">
        <w:trPr>
          <w:trHeight w:val="142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3FF3CEE4" w14:textId="4DD27445"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 xml:space="preserve">51 </w:t>
            </w:r>
            <w:r w:rsidR="00950484">
              <w:rPr>
                <w:rFonts w:ascii="Arial" w:eastAsia="Times New Roman" w:hAnsi="Arial" w:cs="Arial"/>
                <w:b/>
                <w:bCs/>
                <w:sz w:val="16"/>
                <w:szCs w:val="16"/>
                <w:lang w:eastAsia="fr-BE"/>
              </w:rPr>
              <w:t>C</w:t>
            </w:r>
          </w:p>
        </w:tc>
        <w:tc>
          <w:tcPr>
            <w:tcW w:w="3756" w:type="dxa"/>
            <w:tcBorders>
              <w:top w:val="nil"/>
              <w:left w:val="nil"/>
              <w:bottom w:val="single" w:sz="4" w:space="0" w:color="auto"/>
              <w:right w:val="nil"/>
            </w:tcBorders>
            <w:shd w:val="clear" w:color="000000" w:fill="99FF99"/>
            <w:vAlign w:val="center"/>
            <w:hideMark/>
          </w:tcPr>
          <w:p w14:paraId="5BB4D68B" w14:textId="6AE7AB14"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 de collecte de déchets, y compris le dépôt de ces déchets d’une capacité</w:t>
            </w:r>
            <w:r w:rsidR="00950484">
              <w:rPr>
                <w:rFonts w:ascii="Arial" w:eastAsia="Times New Roman" w:hAnsi="Arial" w:cs="Arial"/>
                <w:sz w:val="16"/>
                <w:szCs w:val="16"/>
                <w:lang w:eastAsia="fr-BE"/>
              </w:rPr>
              <w:t xml:space="preserve"> </w:t>
            </w:r>
            <w:r w:rsidRPr="009E2D9F">
              <w:rPr>
                <w:rFonts w:ascii="Arial" w:eastAsia="Times New Roman" w:hAnsi="Arial" w:cs="Arial"/>
                <w:sz w:val="16"/>
                <w:szCs w:val="16"/>
                <w:lang w:eastAsia="fr-BE"/>
              </w:rPr>
              <w:t xml:space="preserve"> supérieure à 1000 et jusqu’ à 100.000 t/an</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439781FD" w14:textId="4F36B78A"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Inzamelinrichting van afvalstoffen, met inbegrip van de opslag van deze afvalstoffen met een capaciteit </w:t>
            </w:r>
            <w:r w:rsidR="00950484">
              <w:rPr>
                <w:rFonts w:ascii="Arial" w:eastAsia="Times New Roman" w:hAnsi="Arial" w:cs="Arial"/>
                <w:sz w:val="16"/>
                <w:szCs w:val="16"/>
                <w:lang w:val="nl-BE" w:eastAsia="fr-BE"/>
              </w:rPr>
              <w:t>groter</w:t>
            </w:r>
            <w:r w:rsidRPr="009E2D9F">
              <w:rPr>
                <w:rFonts w:ascii="Arial" w:eastAsia="Times New Roman" w:hAnsi="Arial" w:cs="Arial"/>
                <w:sz w:val="16"/>
                <w:szCs w:val="16"/>
                <w:lang w:val="nl-BE" w:eastAsia="fr-BE"/>
              </w:rPr>
              <w:t xml:space="preserve"> dan 1000 tot en met 100.000 t/jaar</w:t>
            </w:r>
          </w:p>
        </w:tc>
        <w:tc>
          <w:tcPr>
            <w:tcW w:w="567" w:type="dxa"/>
            <w:tcBorders>
              <w:top w:val="single" w:sz="4" w:space="0" w:color="auto"/>
              <w:left w:val="nil"/>
              <w:bottom w:val="single" w:sz="4" w:space="0" w:color="auto"/>
              <w:right w:val="nil"/>
            </w:tcBorders>
            <w:shd w:val="clear" w:color="000000" w:fill="99FF99"/>
            <w:vAlign w:val="center"/>
            <w:hideMark/>
          </w:tcPr>
          <w:p w14:paraId="2662AB8A"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325BA4CD"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Ne sont pas considérées comme activité à risque : les installations de collecte destinées exclusivement aux déchets non dangereux, déchets ménagers ou déchets d’équipements électriques et électroniques</w:t>
            </w:r>
          </w:p>
        </w:tc>
        <w:tc>
          <w:tcPr>
            <w:tcW w:w="2835" w:type="dxa"/>
            <w:tcBorders>
              <w:top w:val="nil"/>
              <w:left w:val="nil"/>
              <w:bottom w:val="single" w:sz="4" w:space="0" w:color="auto"/>
              <w:right w:val="single" w:sz="8" w:space="0" w:color="auto"/>
            </w:tcBorders>
            <w:shd w:val="clear" w:color="000000" w:fill="CCFFCC"/>
            <w:vAlign w:val="center"/>
            <w:hideMark/>
          </w:tcPr>
          <w:p w14:paraId="00CE13E2"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niet als risicoactiviteiten beschouwd: de inzamelinrichting uitsluitend bestemd voor niet</w:t>
            </w:r>
            <w:r w:rsidRPr="009E2D9F">
              <w:rPr>
                <w:rFonts w:ascii="Arial" w:eastAsia="Times New Roman" w:hAnsi="Arial" w:cs="Arial"/>
                <w:sz w:val="16"/>
                <w:szCs w:val="16"/>
                <w:lang w:val="nl-BE" w:eastAsia="fr-BE"/>
              </w:rPr>
              <w:br/>
              <w:t>gevaarlijke afvalstoffen, huishoudelijke afvalstoffen of afgedankte elektrische en elektronische apparatuur</w:t>
            </w:r>
          </w:p>
        </w:tc>
      </w:tr>
      <w:tr w:rsidR="009E2D9F" w:rsidRPr="009E2D9F" w14:paraId="3B5064BB"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57FFF095"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52</w:t>
            </w:r>
          </w:p>
        </w:tc>
        <w:tc>
          <w:tcPr>
            <w:tcW w:w="3756" w:type="dxa"/>
            <w:tcBorders>
              <w:top w:val="nil"/>
              <w:left w:val="nil"/>
              <w:bottom w:val="single" w:sz="4" w:space="0" w:color="auto"/>
              <w:right w:val="single" w:sz="4" w:space="0" w:color="auto"/>
            </w:tcBorders>
            <w:shd w:val="clear" w:color="000000" w:fill="99FF99"/>
            <w:vAlign w:val="center"/>
            <w:hideMark/>
          </w:tcPr>
          <w:p w14:paraId="4F3A5D31"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fixes pour le déparasitage et la désinfection à l’aide de cyanures, d’acide cyanhydrique ou d’autres produits toxiques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0D15FF2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Vaste inrichtingen voor het verwijderen van parasieten en het ontsmetten met behulp van cyanide, cyaanzuur of andere giftige producten </w:t>
            </w:r>
          </w:p>
        </w:tc>
        <w:tc>
          <w:tcPr>
            <w:tcW w:w="567" w:type="dxa"/>
            <w:tcBorders>
              <w:top w:val="single" w:sz="4" w:space="0" w:color="auto"/>
              <w:left w:val="nil"/>
              <w:bottom w:val="single" w:sz="4" w:space="0" w:color="auto"/>
              <w:right w:val="single" w:sz="4" w:space="0" w:color="auto"/>
            </w:tcBorders>
            <w:shd w:val="clear" w:color="000000" w:fill="99FF99"/>
            <w:vAlign w:val="center"/>
            <w:hideMark/>
          </w:tcPr>
          <w:p w14:paraId="1FE9AF7E"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62FE3D1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4E7A0CF8"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6ED934CB" w14:textId="77777777" w:rsidTr="00DB01CF">
        <w:trPr>
          <w:trHeight w:val="2111"/>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16351D39" w14:textId="27A92D1F"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56 A</w:t>
            </w:r>
          </w:p>
        </w:tc>
        <w:tc>
          <w:tcPr>
            <w:tcW w:w="3756" w:type="dxa"/>
            <w:tcBorders>
              <w:top w:val="nil"/>
              <w:left w:val="nil"/>
              <w:bottom w:val="single" w:sz="4" w:space="0" w:color="auto"/>
              <w:right w:val="nil"/>
            </w:tcBorders>
            <w:shd w:val="clear" w:color="000000" w:fill="99FF99"/>
            <w:vAlign w:val="center"/>
            <w:hideMark/>
          </w:tcPr>
          <w:p w14:paraId="62C2E03E"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Système d'épuration des eaux usées (fosses septiques, mini-station, lagunages, station d'épuration, …), systèmes de dispersion d'eaux usées ou d'effluents dans le milieu naturel (rejet en surface, drains, puits-perdus,…) d'une capacité :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a) inférieure à 2.000 équivalents-habitants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6921A16F"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Afvalwaterzuiveringsstations (septische putten, ministations, waterbekkens, zuiveringsstation,…), systemen voor het verspreiden van afvalwater of effluenten in het milieu (lozing in oppervlakte, draineerbuizen, zinkputten, …) met een capaciteit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a) kleiner dan 2.000 inwonersequivalenten</w:t>
            </w:r>
          </w:p>
        </w:tc>
        <w:tc>
          <w:tcPr>
            <w:tcW w:w="567" w:type="dxa"/>
            <w:tcBorders>
              <w:top w:val="single" w:sz="4" w:space="0" w:color="auto"/>
              <w:left w:val="nil"/>
              <w:bottom w:val="single" w:sz="4" w:space="0" w:color="auto"/>
              <w:right w:val="nil"/>
            </w:tcBorders>
            <w:shd w:val="clear" w:color="000000" w:fill="99FF99"/>
            <w:vAlign w:val="center"/>
            <w:hideMark/>
          </w:tcPr>
          <w:p w14:paraId="4A3B0347"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54F9A078"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considérées comme à risque les installations traitant des eaux industrielles contenant des substances classées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l'environnement autre que pour la couche d'ozone*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078E0818"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uitsluitend beschouwd als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de inrichtingen voor de behandeling van industrieel water dat substanties bevat die volgens CLP-verordening geklasseerd zijn als substanties die een risico of een gevaar voor de gezondheid inhouden, anders dan corrosief en irriterend, of voor het leefmilieu, anders dan voor de ozonlaag*</w:t>
            </w:r>
          </w:p>
        </w:tc>
      </w:tr>
      <w:tr w:rsidR="009E2D9F" w:rsidRPr="003D427D" w14:paraId="5524566E" w14:textId="77777777" w:rsidTr="00F63922">
        <w:trPr>
          <w:trHeight w:val="3084"/>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1DCB32CE" w14:textId="25255CB3"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56 B</w:t>
            </w:r>
          </w:p>
        </w:tc>
        <w:tc>
          <w:tcPr>
            <w:tcW w:w="3756" w:type="dxa"/>
            <w:tcBorders>
              <w:top w:val="nil"/>
              <w:left w:val="nil"/>
              <w:bottom w:val="single" w:sz="4" w:space="0" w:color="auto"/>
              <w:right w:val="nil"/>
            </w:tcBorders>
            <w:shd w:val="clear" w:color="000000" w:fill="99FF99"/>
            <w:vAlign w:val="center"/>
            <w:hideMark/>
          </w:tcPr>
          <w:p w14:paraId="28D091F1"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Système d'épuration des eaux usées (fosses septiques, mini-station, lagunages, station d'épuration, …), systèmes de dispersion d'eaux usées ou d'effluents dans le milieu naturel d'une capacité :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 comprise entre 2.000 et 30.000 équivalents-habitants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647B9840"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Afvalwaterzuiveringsstations (septische putten, ministations, waterbekkens, zuiveringsstation,…), systemen voor het verspreiden van afvalwater of effluenten in het milieu, met een capaciteit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b) van 2.000 tot en met 30.000 inwonersequivalenten</w:t>
            </w:r>
          </w:p>
        </w:tc>
        <w:tc>
          <w:tcPr>
            <w:tcW w:w="567" w:type="dxa"/>
            <w:tcBorders>
              <w:top w:val="nil"/>
              <w:left w:val="nil"/>
              <w:bottom w:val="single" w:sz="4" w:space="0" w:color="auto"/>
              <w:right w:val="nil"/>
            </w:tcBorders>
            <w:shd w:val="clear" w:color="000000" w:fill="99FF99"/>
            <w:vAlign w:val="center"/>
            <w:hideMark/>
          </w:tcPr>
          <w:p w14:paraId="748CB6F3"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5553711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considérées comme à risque les installations traitant des eaux industrielles contenant des substances classées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l'environnement autre que pour la couche d'ozone*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7D26D0C7"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uitsluitend beschouwd als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de inrichtingen voor de behandeling van industrieel water dat substanties bevat die volgens CLP-verordening geklasseerd zijn als substanties die een risico of een gevaar voor de gezondheid inhouden, anders dan corrosief en irriterend, of voor het leefmilieu, anders dan voor de ozonlaag*</w:t>
            </w:r>
          </w:p>
        </w:tc>
      </w:tr>
      <w:tr w:rsidR="009E2D9F" w:rsidRPr="009E2D9F" w14:paraId="20AE3882"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6E14A8C7" w14:textId="3B2ADED1"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221 C</w:t>
            </w:r>
          </w:p>
        </w:tc>
        <w:tc>
          <w:tcPr>
            <w:tcW w:w="3756" w:type="dxa"/>
            <w:tcBorders>
              <w:top w:val="nil"/>
              <w:left w:val="nil"/>
              <w:bottom w:val="single" w:sz="4" w:space="0" w:color="auto"/>
              <w:right w:val="nil"/>
            </w:tcBorders>
            <w:shd w:val="clear" w:color="000000" w:fill="99FF99"/>
            <w:vAlign w:val="center"/>
            <w:hideMark/>
          </w:tcPr>
          <w:p w14:paraId="5911C35D"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Stations d’épuration pour les eaux usées d’une capacité supérieure à 30.000 équivalents-habitants.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1980BF1F"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Afvalwaterzuiveringsstations met een capaciteit van meer dan 30.000 inwonersequivalent.</w:t>
            </w:r>
          </w:p>
        </w:tc>
        <w:tc>
          <w:tcPr>
            <w:tcW w:w="567" w:type="dxa"/>
            <w:tcBorders>
              <w:top w:val="nil"/>
              <w:left w:val="nil"/>
              <w:bottom w:val="single" w:sz="4" w:space="0" w:color="auto"/>
              <w:right w:val="nil"/>
            </w:tcBorders>
            <w:shd w:val="clear" w:color="000000" w:fill="99FF99"/>
            <w:vAlign w:val="center"/>
            <w:hideMark/>
          </w:tcPr>
          <w:p w14:paraId="7B30D728"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1BBB2400"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7560E140"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004EB287" w14:textId="77777777" w:rsidTr="00F63922">
        <w:trPr>
          <w:trHeight w:val="2352"/>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56BA8833" w14:textId="46B5ABE6"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59 B</w:t>
            </w:r>
          </w:p>
        </w:tc>
        <w:tc>
          <w:tcPr>
            <w:tcW w:w="3756" w:type="dxa"/>
            <w:tcBorders>
              <w:top w:val="nil"/>
              <w:left w:val="nil"/>
              <w:bottom w:val="single" w:sz="4" w:space="0" w:color="auto"/>
              <w:right w:val="nil"/>
            </w:tcBorders>
            <w:shd w:val="clear" w:color="000000" w:fill="99FF99"/>
            <w:vAlign w:val="center"/>
            <w:hideMark/>
          </w:tcPr>
          <w:p w14:paraId="45877A0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b) - Fabriques d’explosifs : (établissements qui ont pour objet la préparation, la manipulation ou la transformation de tout explosif autres que les ateliers visés à la rubrique 60 de l'arrêté du 4 mars 1999 fixant la liste des installations de classe IB, II et III en exécution de l'article 4 de l'ordonnance du 5 juin 1997 relative aux permis d'environnement)</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Dépôts où les quantités stockées sont supérieures à celles reprises en a)</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7960C12B"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b) - Explosievenfabrieken (inrichtingen voor de productie, de behandeling of de bewerking van alle soorten springstoffen behalve de werkplaatsen bedoeld in rubriek 60 van het besluit van 4 maart 1999 tot vaststelling van de ingedeelde inrichtingen van klasse IB, II en III, met toepassing van artikel 4 van de ordonnantie van 5 juni 997 betreffende de milieuvergunningen)</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Opslagplaatsen voor springstoffen met een opslagen hoeveelheid hoger dan die welke sub a) staat vermeld</w:t>
            </w:r>
          </w:p>
        </w:tc>
        <w:tc>
          <w:tcPr>
            <w:tcW w:w="567" w:type="dxa"/>
            <w:tcBorders>
              <w:top w:val="nil"/>
              <w:left w:val="nil"/>
              <w:bottom w:val="single" w:sz="4" w:space="0" w:color="auto"/>
              <w:right w:val="nil"/>
            </w:tcBorders>
            <w:shd w:val="clear" w:color="000000" w:fill="99FF99"/>
            <w:vAlign w:val="center"/>
            <w:hideMark/>
          </w:tcPr>
          <w:p w14:paraId="0FDF870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0D4C13D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exclusivement considérées comme des activités à risque: les fabriques d'explosifs</w:t>
            </w:r>
          </w:p>
        </w:tc>
        <w:tc>
          <w:tcPr>
            <w:tcW w:w="2835" w:type="dxa"/>
            <w:tcBorders>
              <w:top w:val="nil"/>
              <w:left w:val="nil"/>
              <w:bottom w:val="single" w:sz="4" w:space="0" w:color="auto"/>
              <w:right w:val="single" w:sz="8" w:space="0" w:color="auto"/>
            </w:tcBorders>
            <w:shd w:val="clear" w:color="000000" w:fill="CCFFCC"/>
            <w:vAlign w:val="center"/>
            <w:hideMark/>
          </w:tcPr>
          <w:p w14:paraId="3AA252C9"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explosievenfabrieken</w:t>
            </w:r>
          </w:p>
        </w:tc>
      </w:tr>
      <w:tr w:rsidR="009E2D9F" w:rsidRPr="009E2D9F" w14:paraId="149D6DD6" w14:textId="77777777" w:rsidTr="00DB01CF">
        <w:trPr>
          <w:trHeight w:val="613"/>
          <w:jc w:val="center"/>
        </w:trPr>
        <w:tc>
          <w:tcPr>
            <w:tcW w:w="0" w:type="auto"/>
            <w:tcBorders>
              <w:top w:val="nil"/>
              <w:left w:val="single" w:sz="8" w:space="0" w:color="auto"/>
              <w:bottom w:val="single" w:sz="4" w:space="0" w:color="auto"/>
              <w:right w:val="single" w:sz="4" w:space="0" w:color="auto"/>
            </w:tcBorders>
            <w:shd w:val="clear" w:color="000000" w:fill="92D050"/>
            <w:noWrap/>
            <w:vAlign w:val="center"/>
            <w:hideMark/>
          </w:tcPr>
          <w:p w14:paraId="66239FC9"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63</w:t>
            </w:r>
          </w:p>
        </w:tc>
        <w:tc>
          <w:tcPr>
            <w:tcW w:w="3756" w:type="dxa"/>
            <w:tcBorders>
              <w:top w:val="nil"/>
              <w:left w:val="nil"/>
              <w:bottom w:val="single" w:sz="4" w:space="0" w:color="auto"/>
              <w:right w:val="single" w:sz="4" w:space="0" w:color="auto"/>
            </w:tcBorders>
            <w:shd w:val="clear" w:color="000000" w:fill="99FF99"/>
            <w:vAlign w:val="center"/>
            <w:hideMark/>
          </w:tcPr>
          <w:p w14:paraId="7C4AAC1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Forges industrielles, tréfileries, laminoirs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7B8692F" w14:textId="77777777" w:rsidR="009E2D9F" w:rsidRPr="009E2D9F" w:rsidRDefault="009E2D9F" w:rsidP="009E2D9F">
            <w:pPr>
              <w:spacing w:after="0" w:line="240" w:lineRule="auto"/>
              <w:rPr>
                <w:rFonts w:ascii="Arial" w:eastAsia="Times New Roman" w:hAnsi="Arial" w:cs="Arial"/>
                <w:sz w:val="16"/>
                <w:szCs w:val="16"/>
                <w:lang w:eastAsia="fr-BE"/>
              </w:rPr>
            </w:pPr>
            <w:proofErr w:type="spellStart"/>
            <w:r w:rsidRPr="009E2D9F">
              <w:rPr>
                <w:rFonts w:ascii="Arial" w:eastAsia="Times New Roman" w:hAnsi="Arial" w:cs="Arial"/>
                <w:sz w:val="16"/>
                <w:szCs w:val="16"/>
                <w:lang w:eastAsia="fr-BE"/>
              </w:rPr>
              <w:t>Industriële</w:t>
            </w:r>
            <w:proofErr w:type="spellEnd"/>
            <w:r w:rsidRPr="009E2D9F">
              <w:rPr>
                <w:rFonts w:ascii="Arial" w:eastAsia="Times New Roman" w:hAnsi="Arial" w:cs="Arial"/>
                <w:sz w:val="16"/>
                <w:szCs w:val="16"/>
                <w:lang w:eastAsia="fr-BE"/>
              </w:rPr>
              <w:t xml:space="preserve"> </w:t>
            </w:r>
            <w:proofErr w:type="spellStart"/>
            <w:r w:rsidRPr="009E2D9F">
              <w:rPr>
                <w:rFonts w:ascii="Arial" w:eastAsia="Times New Roman" w:hAnsi="Arial" w:cs="Arial"/>
                <w:sz w:val="16"/>
                <w:szCs w:val="16"/>
                <w:lang w:eastAsia="fr-BE"/>
              </w:rPr>
              <w:t>smederijen</w:t>
            </w:r>
            <w:proofErr w:type="spellEnd"/>
            <w:r w:rsidRPr="009E2D9F">
              <w:rPr>
                <w:rFonts w:ascii="Arial" w:eastAsia="Times New Roman" w:hAnsi="Arial" w:cs="Arial"/>
                <w:sz w:val="16"/>
                <w:szCs w:val="16"/>
                <w:lang w:eastAsia="fr-BE"/>
              </w:rPr>
              <w:t xml:space="preserve">, </w:t>
            </w:r>
            <w:proofErr w:type="spellStart"/>
            <w:r w:rsidRPr="009E2D9F">
              <w:rPr>
                <w:rFonts w:ascii="Arial" w:eastAsia="Times New Roman" w:hAnsi="Arial" w:cs="Arial"/>
                <w:sz w:val="16"/>
                <w:szCs w:val="16"/>
                <w:lang w:eastAsia="fr-BE"/>
              </w:rPr>
              <w:t>draadtrekkerijen</w:t>
            </w:r>
            <w:proofErr w:type="spellEnd"/>
            <w:r w:rsidRPr="009E2D9F">
              <w:rPr>
                <w:rFonts w:ascii="Arial" w:eastAsia="Times New Roman" w:hAnsi="Arial" w:cs="Arial"/>
                <w:sz w:val="16"/>
                <w:szCs w:val="16"/>
                <w:lang w:eastAsia="fr-BE"/>
              </w:rPr>
              <w:t xml:space="preserve">, </w:t>
            </w:r>
            <w:proofErr w:type="spellStart"/>
            <w:r w:rsidRPr="009E2D9F">
              <w:rPr>
                <w:rFonts w:ascii="Arial" w:eastAsia="Times New Roman" w:hAnsi="Arial" w:cs="Arial"/>
                <w:sz w:val="16"/>
                <w:szCs w:val="16"/>
                <w:lang w:eastAsia="fr-BE"/>
              </w:rPr>
              <w:t>walserijen</w:t>
            </w:r>
            <w:proofErr w:type="spellEnd"/>
          </w:p>
        </w:tc>
        <w:tc>
          <w:tcPr>
            <w:tcW w:w="567" w:type="dxa"/>
            <w:tcBorders>
              <w:top w:val="single" w:sz="4" w:space="0" w:color="auto"/>
              <w:left w:val="nil"/>
              <w:bottom w:val="single" w:sz="4" w:space="0" w:color="auto"/>
              <w:right w:val="single" w:sz="4" w:space="0" w:color="auto"/>
            </w:tcBorders>
            <w:shd w:val="clear" w:color="000000" w:fill="99FF99"/>
            <w:vAlign w:val="center"/>
            <w:hideMark/>
          </w:tcPr>
          <w:p w14:paraId="58A81BE5"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444308A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5AAF5D5C"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9E2D9F" w14:paraId="091AC222" w14:textId="77777777" w:rsidTr="00F63922">
        <w:trPr>
          <w:trHeight w:val="612"/>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768B754B" w14:textId="3A8AE07C"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66 B</w:t>
            </w:r>
          </w:p>
        </w:tc>
        <w:tc>
          <w:tcPr>
            <w:tcW w:w="3756" w:type="dxa"/>
            <w:tcBorders>
              <w:top w:val="nil"/>
              <w:left w:val="nil"/>
              <w:bottom w:val="single" w:sz="4" w:space="0" w:color="auto"/>
              <w:right w:val="nil"/>
            </w:tcBorders>
            <w:shd w:val="clear" w:color="000000" w:fill="99FF99"/>
            <w:vAlign w:val="center"/>
            <w:hideMark/>
          </w:tcPr>
          <w:p w14:paraId="5E504551"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Dépôts de fumier, lisier :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 de plus de 50 tonnes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488010E3"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mest, gier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b) van meer dan 50 ton</w:t>
            </w:r>
          </w:p>
        </w:tc>
        <w:tc>
          <w:tcPr>
            <w:tcW w:w="567" w:type="dxa"/>
            <w:tcBorders>
              <w:top w:val="single" w:sz="4" w:space="0" w:color="auto"/>
              <w:left w:val="nil"/>
              <w:bottom w:val="single" w:sz="4" w:space="0" w:color="auto"/>
              <w:right w:val="nil"/>
            </w:tcBorders>
            <w:shd w:val="clear" w:color="000000" w:fill="99FF99"/>
            <w:vAlign w:val="center"/>
            <w:hideMark/>
          </w:tcPr>
          <w:p w14:paraId="7414B3D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59446E70"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314D9A07"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9E2D9F" w14:paraId="22CAF01B"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62963FAE" w14:textId="3CFEBBA8"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226 B</w:t>
            </w:r>
          </w:p>
        </w:tc>
        <w:tc>
          <w:tcPr>
            <w:tcW w:w="3756" w:type="dxa"/>
            <w:tcBorders>
              <w:top w:val="nil"/>
              <w:left w:val="nil"/>
              <w:bottom w:val="single" w:sz="4" w:space="0" w:color="auto"/>
              <w:right w:val="nil"/>
            </w:tcBorders>
            <w:shd w:val="clear" w:color="000000" w:fill="99FF99"/>
            <w:vAlign w:val="center"/>
            <w:hideMark/>
          </w:tcPr>
          <w:p w14:paraId="19FCF94C"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fixes pour la production de gaz (à l’exception des cokeries) d’une capacité de plus de 1.000 Nm³/h.</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18F4881E"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Vaste inrichtingen voor gasproductie (met uitzondering van cokesfabrieken) met een capaciteit hoger dan 1.000 Nm³/h.</w:t>
            </w:r>
          </w:p>
        </w:tc>
        <w:tc>
          <w:tcPr>
            <w:tcW w:w="567" w:type="dxa"/>
            <w:tcBorders>
              <w:top w:val="nil"/>
              <w:left w:val="nil"/>
              <w:bottom w:val="single" w:sz="4" w:space="0" w:color="auto"/>
              <w:right w:val="nil"/>
            </w:tcBorders>
            <w:shd w:val="clear" w:color="000000" w:fill="99FF99"/>
            <w:vAlign w:val="center"/>
            <w:hideMark/>
          </w:tcPr>
          <w:p w14:paraId="7816A084"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1718DBF2"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2FBA8D49"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7446CF3D" w14:textId="77777777" w:rsidTr="00F63922">
        <w:trPr>
          <w:trHeight w:val="816"/>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5E69F354" w14:textId="1545C572"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78 B</w:t>
            </w:r>
          </w:p>
        </w:tc>
        <w:tc>
          <w:tcPr>
            <w:tcW w:w="3756" w:type="dxa"/>
            <w:tcBorders>
              <w:top w:val="nil"/>
              <w:left w:val="nil"/>
              <w:bottom w:val="single" w:sz="4" w:space="0" w:color="auto"/>
              <w:right w:val="single" w:sz="4" w:space="0" w:color="auto"/>
            </w:tcBorders>
            <w:shd w:val="clear" w:color="000000" w:fill="99FF99"/>
            <w:vAlign w:val="center"/>
            <w:hideMark/>
          </w:tcPr>
          <w:p w14:paraId="63FBA849"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Industrie des corps gras animaux et végétaux, savonneries dont la force motrice est supérieure à 20 kW</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4873DAFA"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Vervaardiging van dierlijke en plantaardige oliën en vetten, zeepziederijen met een drijfkracht groter dan 20kW</w:t>
            </w:r>
          </w:p>
        </w:tc>
        <w:tc>
          <w:tcPr>
            <w:tcW w:w="567" w:type="dxa"/>
            <w:tcBorders>
              <w:top w:val="single" w:sz="4" w:space="0" w:color="auto"/>
              <w:left w:val="nil"/>
              <w:bottom w:val="single" w:sz="4" w:space="0" w:color="auto"/>
              <w:right w:val="single" w:sz="4" w:space="0" w:color="auto"/>
            </w:tcBorders>
            <w:shd w:val="clear" w:color="000000" w:fill="99FF99"/>
            <w:vAlign w:val="center"/>
            <w:hideMark/>
          </w:tcPr>
          <w:p w14:paraId="1FA4763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0358348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à risque exclusivement si le procédé </w:t>
            </w:r>
            <w:proofErr w:type="spellStart"/>
            <w:r w:rsidRPr="009E2D9F">
              <w:rPr>
                <w:rFonts w:ascii="Arial" w:eastAsia="Times New Roman" w:hAnsi="Arial" w:cs="Arial"/>
                <w:sz w:val="16"/>
                <w:szCs w:val="16"/>
                <w:lang w:eastAsia="fr-BE"/>
              </w:rPr>
              <w:t>utlise</w:t>
            </w:r>
            <w:proofErr w:type="spellEnd"/>
            <w:r w:rsidRPr="009E2D9F">
              <w:rPr>
                <w:rFonts w:ascii="Arial" w:eastAsia="Times New Roman" w:hAnsi="Arial" w:cs="Arial"/>
                <w:sz w:val="16"/>
                <w:szCs w:val="16"/>
                <w:lang w:eastAsia="fr-BE"/>
              </w:rPr>
              <w:t xml:space="preserve"> des solvants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l'environnement autre que pour la couche d'ozone*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69E43EB7"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Zijn uitsluitend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als het gebruikte procedé gebruikmaakt van </w:t>
            </w:r>
            <w:proofErr w:type="spellStart"/>
            <w:r w:rsidRPr="009E2D9F">
              <w:rPr>
                <w:rFonts w:ascii="Arial" w:eastAsia="Times New Roman" w:hAnsi="Arial" w:cs="Arial"/>
                <w:sz w:val="16"/>
                <w:szCs w:val="16"/>
                <w:lang w:val="nl-BE" w:eastAsia="fr-BE"/>
              </w:rPr>
              <w:t>solventen</w:t>
            </w:r>
            <w:proofErr w:type="spellEnd"/>
            <w:r w:rsidRPr="009E2D9F">
              <w:rPr>
                <w:rFonts w:ascii="Arial" w:eastAsia="Times New Roman" w:hAnsi="Arial" w:cs="Arial"/>
                <w:sz w:val="16"/>
                <w:szCs w:val="16"/>
                <w:lang w:val="nl-BE" w:eastAsia="fr-BE"/>
              </w:rPr>
              <w:t xml:space="preserve"> die volgens de CLP-verordening geklasseerd zijn als producten die een risico of een gevaar voor de gezondheid inhouden, anders dan corrosief en irriterend, of voor het leefmilieu, anders dan voor de ozonlaag*</w:t>
            </w:r>
          </w:p>
        </w:tc>
      </w:tr>
      <w:tr w:rsidR="009E2D9F" w:rsidRPr="003D427D" w14:paraId="72B43643" w14:textId="77777777" w:rsidTr="00DB01CF">
        <w:trPr>
          <w:trHeight w:val="2551"/>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5B89526A" w14:textId="146774CB"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82 B</w:t>
            </w:r>
          </w:p>
        </w:tc>
        <w:tc>
          <w:tcPr>
            <w:tcW w:w="3756" w:type="dxa"/>
            <w:tcBorders>
              <w:top w:val="nil"/>
              <w:left w:val="nil"/>
              <w:bottom w:val="single" w:sz="4" w:space="0" w:color="auto"/>
              <w:right w:val="nil"/>
            </w:tcBorders>
            <w:shd w:val="clear" w:color="000000" w:fill="99FF99"/>
            <w:vAlign w:val="center"/>
            <w:hideMark/>
          </w:tcPr>
          <w:p w14:paraId="2B6860F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Imprimeries et tous travaux d'impression sur papier, tissu, métal, matières synthétiques, lorsque la force motrice totale est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xml:space="preserve">b) supérieure à 20 kW </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E5D54EC"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Drukkerijen en alle soorten drukwerk op papier, stof, metaal, synthetisch materiaal, met een drijfkracht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b) groter dan 20 kW </w:t>
            </w:r>
          </w:p>
        </w:tc>
        <w:tc>
          <w:tcPr>
            <w:tcW w:w="567" w:type="dxa"/>
            <w:tcBorders>
              <w:top w:val="single" w:sz="4" w:space="0" w:color="auto"/>
              <w:left w:val="nil"/>
              <w:bottom w:val="single" w:sz="4" w:space="0" w:color="auto"/>
              <w:right w:val="nil"/>
            </w:tcBorders>
            <w:shd w:val="clear" w:color="000000" w:fill="99FF99"/>
            <w:vAlign w:val="center"/>
            <w:hideMark/>
          </w:tcPr>
          <w:p w14:paraId="3D8FD67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5223B9A5"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à risque les installations utilisant des solvants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3F95D90A"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uitsluitend als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beschouwd de inrichtingen die </w:t>
            </w:r>
            <w:proofErr w:type="spellStart"/>
            <w:r w:rsidRPr="009E2D9F">
              <w:rPr>
                <w:rFonts w:ascii="Arial" w:eastAsia="Times New Roman" w:hAnsi="Arial" w:cs="Arial"/>
                <w:sz w:val="16"/>
                <w:szCs w:val="16"/>
                <w:lang w:val="nl-BE" w:eastAsia="fr-BE"/>
              </w:rPr>
              <w:t>gebuik</w:t>
            </w:r>
            <w:proofErr w:type="spellEnd"/>
            <w:r w:rsidRPr="009E2D9F">
              <w:rPr>
                <w:rFonts w:ascii="Arial" w:eastAsia="Times New Roman" w:hAnsi="Arial" w:cs="Arial"/>
                <w:sz w:val="16"/>
                <w:szCs w:val="16"/>
                <w:lang w:val="nl-BE" w:eastAsia="fr-BE"/>
              </w:rPr>
              <w:t xml:space="preserve"> maken van </w:t>
            </w:r>
            <w:proofErr w:type="spellStart"/>
            <w:r w:rsidRPr="009E2D9F">
              <w:rPr>
                <w:rFonts w:ascii="Arial" w:eastAsia="Times New Roman" w:hAnsi="Arial" w:cs="Arial"/>
                <w:sz w:val="16"/>
                <w:szCs w:val="16"/>
                <w:lang w:val="nl-BE" w:eastAsia="fr-BE"/>
              </w:rPr>
              <w:t>solventen</w:t>
            </w:r>
            <w:proofErr w:type="spellEnd"/>
            <w:r w:rsidRPr="009E2D9F">
              <w:rPr>
                <w:rFonts w:ascii="Arial" w:eastAsia="Times New Roman" w:hAnsi="Arial" w:cs="Arial"/>
                <w:sz w:val="16"/>
                <w:szCs w:val="16"/>
                <w:lang w:val="nl-BE" w:eastAsia="fr-BE"/>
              </w:rPr>
              <w:t xml:space="preserve"> die volgens de CLP-verordening geklasseerd zijn als producten die een risico of een gevaar voor de gezondheid inhouden, anders dan corrosief en irriterend, of voor het leefmilieu, anders dan voor de ozonlaag*</w:t>
            </w:r>
          </w:p>
        </w:tc>
      </w:tr>
      <w:tr w:rsidR="009E2D9F" w:rsidRPr="003D427D" w14:paraId="4389F1CE" w14:textId="77777777" w:rsidTr="00F63922">
        <w:trPr>
          <w:trHeight w:val="816"/>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06929C2F" w14:textId="2BFCA250"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88 1°B</w:t>
            </w:r>
          </w:p>
        </w:tc>
        <w:tc>
          <w:tcPr>
            <w:tcW w:w="3756" w:type="dxa"/>
            <w:tcBorders>
              <w:top w:val="nil"/>
              <w:left w:val="nil"/>
              <w:bottom w:val="single" w:sz="4" w:space="0" w:color="auto"/>
              <w:right w:val="nil"/>
            </w:tcBorders>
            <w:shd w:val="clear" w:color="000000" w:fill="99FF99"/>
            <w:vAlign w:val="center"/>
            <w:hideMark/>
          </w:tcPr>
          <w:p w14:paraId="28C200C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1°.Dépôts de liquides inflammables dont le point d'éclair est inférieur ou égal à 21°C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 dépôts dont la capacité totale sur le site est de plus de 500 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35A540A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1°. Opslagplaatsen voor ontvlambare vloeistoffen met een vlampunt lager dan of gelijk aan 21°C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b) opslagplaatsen met een totale capaciteit op de site van meer dan 500 l</w:t>
            </w:r>
          </w:p>
        </w:tc>
        <w:tc>
          <w:tcPr>
            <w:tcW w:w="567" w:type="dxa"/>
            <w:tcBorders>
              <w:top w:val="nil"/>
              <w:left w:val="nil"/>
              <w:bottom w:val="single" w:sz="4" w:space="0" w:color="auto"/>
              <w:right w:val="nil"/>
            </w:tcBorders>
            <w:shd w:val="clear" w:color="000000" w:fill="99FF99"/>
            <w:vAlign w:val="center"/>
            <w:hideMark/>
          </w:tcPr>
          <w:p w14:paraId="1FADA5B4"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vMerge w:val="restart"/>
            <w:tcBorders>
              <w:top w:val="nil"/>
              <w:left w:val="single" w:sz="4" w:space="0" w:color="auto"/>
              <w:bottom w:val="single" w:sz="4" w:space="0" w:color="000000"/>
              <w:right w:val="single" w:sz="4" w:space="0" w:color="auto"/>
            </w:tcBorders>
            <w:shd w:val="clear" w:color="000000" w:fill="CCFFCC"/>
            <w:vAlign w:val="center"/>
            <w:hideMark/>
          </w:tcPr>
          <w:p w14:paraId="63BAA0DD"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des activités à risque: les dépôts de liquides inflammables qui sont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xml:space="preserve">Ne sont pas considérés comme des activités à risque: les dépôts de liquides inflammables non enterrés qui concernent que des conditionnements individuels fermés de maximum 30 litres ou 30 kg qui ne sont pas utilisés en lien avec une autre installation classée de l'unité technique et géographique.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Un dépôt visé par les rubriques 88.3 et 88.4 jusqu'à 10.000 litres n'est pas une activité à risque, à moins qu'il ne soit destiné à alimenter des véhicules et, s'il s'agit d'un dépôt aérien de moins de 3000 litres, s'il est exploité après le 20 avril 2019</w:t>
            </w:r>
          </w:p>
        </w:tc>
        <w:tc>
          <w:tcPr>
            <w:tcW w:w="2835" w:type="dxa"/>
            <w:vMerge w:val="restart"/>
            <w:tcBorders>
              <w:top w:val="nil"/>
              <w:left w:val="single" w:sz="4" w:space="0" w:color="auto"/>
              <w:bottom w:val="single" w:sz="4" w:space="0" w:color="000000"/>
              <w:right w:val="single" w:sz="8" w:space="0" w:color="auto"/>
            </w:tcBorders>
            <w:shd w:val="clear" w:color="000000" w:fill="CCFFCC"/>
            <w:vAlign w:val="center"/>
            <w:hideMark/>
          </w:tcPr>
          <w:p w14:paraId="09BA1A27"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de opslag van ontvlambare vloeistoffen die volgens de CLP-verordening geklasseerd zijn als producten die een risico of een gevaar voor de gezondheid inhouden, anders dan corrosief en irriterend, of voor het leefmilieu anders dan voor de ozonlaag*.</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Worden niet als risicoactiviteiten beschouwd : de niet-ondergrondse opslag van ontvlambare vloeistoffen die betrekking heeft op afgesloten individuele verpakkingen van maximum 30 liter of 30 kg die niet gebruikt worden in verband met een andere ingedeelde inrichting van de technische en geografische eenheid.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Een opslag betrokken door rubriek 88.3 of 88.4 tot en met 10.000 liter is geen risicoactiviteit, tenzij die voor de bevoorrading van voertuigen bestemd is en, voor wat betreft een bovengrondse opslag van minder dan 3000 liter, als die in uitbating is na 20 april 2019</w:t>
            </w:r>
          </w:p>
        </w:tc>
      </w:tr>
      <w:tr w:rsidR="009E2D9F" w:rsidRPr="009E2D9F" w14:paraId="75DDAD22" w14:textId="77777777" w:rsidTr="00F63922">
        <w:trPr>
          <w:trHeight w:val="1020"/>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1E0E490D" w14:textId="2FF4EA8C"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88 2°B</w:t>
            </w:r>
          </w:p>
        </w:tc>
        <w:tc>
          <w:tcPr>
            <w:tcW w:w="3756" w:type="dxa"/>
            <w:tcBorders>
              <w:top w:val="nil"/>
              <w:left w:val="nil"/>
              <w:bottom w:val="single" w:sz="4" w:space="0" w:color="auto"/>
              <w:right w:val="nil"/>
            </w:tcBorders>
            <w:shd w:val="clear" w:color="000000" w:fill="99FF99"/>
            <w:vAlign w:val="center"/>
            <w:hideMark/>
          </w:tcPr>
          <w:p w14:paraId="37ED97C9"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2°. Dépôts de liquides inflammables dont le point d'éclair est supérieur à 21°C mais ne dépasse pas 55°C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 dépôts dont la capacité totale sur le site est supérieure à 500l jusqu'à 10.000 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30E4D91B"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2°. Opslagplaatsen voor ontvlambare vloeistoffen met een vlampunt hoger dan 21°C maar niet hoger dan 55°C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b) opslagplaatsen met een totale capaciteit op de site van meer dan 500 l tot en met 10.000 l </w:t>
            </w:r>
          </w:p>
        </w:tc>
        <w:tc>
          <w:tcPr>
            <w:tcW w:w="567" w:type="dxa"/>
            <w:tcBorders>
              <w:top w:val="nil"/>
              <w:left w:val="nil"/>
              <w:bottom w:val="single" w:sz="4" w:space="0" w:color="auto"/>
              <w:right w:val="nil"/>
            </w:tcBorders>
            <w:shd w:val="clear" w:color="000000" w:fill="99FF99"/>
            <w:vAlign w:val="center"/>
            <w:hideMark/>
          </w:tcPr>
          <w:p w14:paraId="5669A78A"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vMerge/>
            <w:tcBorders>
              <w:top w:val="nil"/>
              <w:left w:val="single" w:sz="4" w:space="0" w:color="auto"/>
              <w:bottom w:val="single" w:sz="4" w:space="0" w:color="000000"/>
              <w:right w:val="single" w:sz="4" w:space="0" w:color="auto"/>
            </w:tcBorders>
            <w:vAlign w:val="center"/>
            <w:hideMark/>
          </w:tcPr>
          <w:p w14:paraId="2E4D44F5" w14:textId="77777777" w:rsidR="009E2D9F" w:rsidRPr="009E2D9F" w:rsidRDefault="009E2D9F" w:rsidP="009E2D9F">
            <w:pPr>
              <w:spacing w:after="0" w:line="240" w:lineRule="auto"/>
              <w:rPr>
                <w:rFonts w:ascii="Arial" w:eastAsia="Times New Roman" w:hAnsi="Arial" w:cs="Arial"/>
                <w:sz w:val="16"/>
                <w:szCs w:val="16"/>
                <w:lang w:eastAsia="fr-BE"/>
              </w:rPr>
            </w:pPr>
          </w:p>
        </w:tc>
        <w:tc>
          <w:tcPr>
            <w:tcW w:w="2835" w:type="dxa"/>
            <w:vMerge/>
            <w:tcBorders>
              <w:top w:val="nil"/>
              <w:left w:val="single" w:sz="4" w:space="0" w:color="auto"/>
              <w:bottom w:val="single" w:sz="4" w:space="0" w:color="000000"/>
              <w:right w:val="single" w:sz="8" w:space="0" w:color="auto"/>
            </w:tcBorders>
            <w:vAlign w:val="center"/>
            <w:hideMark/>
          </w:tcPr>
          <w:p w14:paraId="655B2D17" w14:textId="77777777" w:rsidR="009E2D9F" w:rsidRPr="009E2D9F" w:rsidRDefault="009E2D9F" w:rsidP="009E2D9F">
            <w:pPr>
              <w:spacing w:after="0" w:line="240" w:lineRule="auto"/>
              <w:rPr>
                <w:rFonts w:ascii="Arial" w:eastAsia="Times New Roman" w:hAnsi="Arial" w:cs="Arial"/>
                <w:sz w:val="16"/>
                <w:szCs w:val="16"/>
                <w:lang w:eastAsia="fr-BE"/>
              </w:rPr>
            </w:pPr>
          </w:p>
        </w:tc>
      </w:tr>
      <w:tr w:rsidR="009E2D9F" w:rsidRPr="009E2D9F" w14:paraId="24AAFF71" w14:textId="77777777" w:rsidTr="00F63922">
        <w:trPr>
          <w:trHeight w:val="1020"/>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5447F320" w14:textId="37B7732D"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88 2°C</w:t>
            </w:r>
          </w:p>
        </w:tc>
        <w:tc>
          <w:tcPr>
            <w:tcW w:w="3756" w:type="dxa"/>
            <w:tcBorders>
              <w:top w:val="nil"/>
              <w:left w:val="nil"/>
              <w:bottom w:val="single" w:sz="4" w:space="0" w:color="auto"/>
              <w:right w:val="nil"/>
            </w:tcBorders>
            <w:shd w:val="clear" w:color="000000" w:fill="99FF99"/>
            <w:vAlign w:val="center"/>
            <w:hideMark/>
          </w:tcPr>
          <w:p w14:paraId="2A5FBB12"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2°. Dépôts de liquides inflammables dont le point d'éclair est supérieur à 21°C mais ne dépasse pas 55°C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c) dépôts dont la capacité totale sur le site est supérieure à 10.000 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359877A2"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2°. Opslagplaatsen voor ontvlambare vloeistoffen met een vlampunt hoger dan 21°C maar niet hoger dan 55°C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c) opslagplaatsen met een totale capaciteit op de site van meer dan 10.000 l</w:t>
            </w:r>
          </w:p>
        </w:tc>
        <w:tc>
          <w:tcPr>
            <w:tcW w:w="567" w:type="dxa"/>
            <w:tcBorders>
              <w:top w:val="nil"/>
              <w:left w:val="nil"/>
              <w:bottom w:val="single" w:sz="4" w:space="0" w:color="auto"/>
              <w:right w:val="nil"/>
            </w:tcBorders>
            <w:shd w:val="clear" w:color="000000" w:fill="99FF99"/>
            <w:vAlign w:val="center"/>
            <w:hideMark/>
          </w:tcPr>
          <w:p w14:paraId="35325061"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vMerge/>
            <w:tcBorders>
              <w:top w:val="nil"/>
              <w:left w:val="single" w:sz="4" w:space="0" w:color="auto"/>
              <w:bottom w:val="single" w:sz="4" w:space="0" w:color="000000"/>
              <w:right w:val="single" w:sz="4" w:space="0" w:color="auto"/>
            </w:tcBorders>
            <w:vAlign w:val="center"/>
            <w:hideMark/>
          </w:tcPr>
          <w:p w14:paraId="66425A80" w14:textId="77777777" w:rsidR="009E2D9F" w:rsidRPr="009E2D9F" w:rsidRDefault="009E2D9F" w:rsidP="009E2D9F">
            <w:pPr>
              <w:spacing w:after="0" w:line="240" w:lineRule="auto"/>
              <w:rPr>
                <w:rFonts w:ascii="Arial" w:eastAsia="Times New Roman" w:hAnsi="Arial" w:cs="Arial"/>
                <w:sz w:val="16"/>
                <w:szCs w:val="16"/>
                <w:lang w:eastAsia="fr-BE"/>
              </w:rPr>
            </w:pPr>
          </w:p>
        </w:tc>
        <w:tc>
          <w:tcPr>
            <w:tcW w:w="2835" w:type="dxa"/>
            <w:vMerge/>
            <w:tcBorders>
              <w:top w:val="nil"/>
              <w:left w:val="single" w:sz="4" w:space="0" w:color="auto"/>
              <w:bottom w:val="single" w:sz="4" w:space="0" w:color="000000"/>
              <w:right w:val="single" w:sz="8" w:space="0" w:color="auto"/>
            </w:tcBorders>
            <w:vAlign w:val="center"/>
            <w:hideMark/>
          </w:tcPr>
          <w:p w14:paraId="1A96C25C" w14:textId="77777777" w:rsidR="009E2D9F" w:rsidRPr="009E2D9F" w:rsidRDefault="009E2D9F" w:rsidP="009E2D9F">
            <w:pPr>
              <w:spacing w:after="0" w:line="240" w:lineRule="auto"/>
              <w:rPr>
                <w:rFonts w:ascii="Arial" w:eastAsia="Times New Roman" w:hAnsi="Arial" w:cs="Arial"/>
                <w:sz w:val="16"/>
                <w:szCs w:val="16"/>
                <w:lang w:eastAsia="fr-BE"/>
              </w:rPr>
            </w:pPr>
          </w:p>
        </w:tc>
      </w:tr>
      <w:tr w:rsidR="009E2D9F" w:rsidRPr="009E2D9F" w14:paraId="47367006" w14:textId="77777777" w:rsidTr="00F63922">
        <w:trPr>
          <w:trHeight w:val="2040"/>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4F16587C" w14:textId="0060BFFC"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88 3°A</w:t>
            </w:r>
          </w:p>
        </w:tc>
        <w:tc>
          <w:tcPr>
            <w:tcW w:w="3756" w:type="dxa"/>
            <w:tcBorders>
              <w:top w:val="nil"/>
              <w:left w:val="nil"/>
              <w:bottom w:val="single" w:sz="4" w:space="0" w:color="auto"/>
              <w:right w:val="nil"/>
            </w:tcBorders>
            <w:shd w:val="clear" w:color="000000" w:fill="99FF99"/>
            <w:vAlign w:val="center"/>
            <w:hideMark/>
          </w:tcPr>
          <w:p w14:paraId="5DF57535"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3°. Dépôts de liquides inflammables dont le point d'éclair est supérieur à 55°C mais ne dépasse 100°C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xml:space="preserve"> -           dépôts dont la capacité totale sur le site est inférieure ou égale à 10.000l lorsque qu'il s'agit de réservoirs enfouis ou destinés à l'approvisionnement de véhicules</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dépôts dont la capacité totale sur le site est comprise entre 3.000 et 10.000 l dans les autres cas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C9E528A"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3°. Opslagplaatsen voor ontvlambare vloeistoffen met een vlampunt hoger dan 55°C maar niet hoger dan 100°C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 - opslagplaatsen met een totale capaciteit op de site kleiner dan of gelijk aan 10.000l bij ingegraven tanks of tanks bestemd voor de bevoorrading van voertuigen,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opslagplaatsen met een totale capaciteit op de site van 3.000l tot en met 10.000l in de andere gevallen</w:t>
            </w:r>
          </w:p>
        </w:tc>
        <w:tc>
          <w:tcPr>
            <w:tcW w:w="567" w:type="dxa"/>
            <w:tcBorders>
              <w:top w:val="nil"/>
              <w:left w:val="nil"/>
              <w:bottom w:val="single" w:sz="4" w:space="0" w:color="auto"/>
              <w:right w:val="nil"/>
            </w:tcBorders>
            <w:shd w:val="clear" w:color="000000" w:fill="99FF99"/>
            <w:vAlign w:val="center"/>
            <w:hideMark/>
          </w:tcPr>
          <w:p w14:paraId="50D13B45"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3</w:t>
            </w:r>
          </w:p>
        </w:tc>
        <w:tc>
          <w:tcPr>
            <w:tcW w:w="2835" w:type="dxa"/>
            <w:vMerge/>
            <w:tcBorders>
              <w:top w:val="nil"/>
              <w:left w:val="single" w:sz="4" w:space="0" w:color="auto"/>
              <w:bottom w:val="single" w:sz="4" w:space="0" w:color="000000"/>
              <w:right w:val="single" w:sz="4" w:space="0" w:color="auto"/>
            </w:tcBorders>
            <w:vAlign w:val="center"/>
            <w:hideMark/>
          </w:tcPr>
          <w:p w14:paraId="05DB9652" w14:textId="77777777" w:rsidR="009E2D9F" w:rsidRPr="009E2D9F" w:rsidRDefault="009E2D9F" w:rsidP="009E2D9F">
            <w:pPr>
              <w:spacing w:after="0" w:line="240" w:lineRule="auto"/>
              <w:rPr>
                <w:rFonts w:ascii="Arial" w:eastAsia="Times New Roman" w:hAnsi="Arial" w:cs="Arial"/>
                <w:sz w:val="16"/>
                <w:szCs w:val="16"/>
                <w:lang w:eastAsia="fr-BE"/>
              </w:rPr>
            </w:pPr>
          </w:p>
        </w:tc>
        <w:tc>
          <w:tcPr>
            <w:tcW w:w="2835" w:type="dxa"/>
            <w:vMerge/>
            <w:tcBorders>
              <w:top w:val="nil"/>
              <w:left w:val="single" w:sz="4" w:space="0" w:color="auto"/>
              <w:bottom w:val="single" w:sz="4" w:space="0" w:color="000000"/>
              <w:right w:val="single" w:sz="8" w:space="0" w:color="auto"/>
            </w:tcBorders>
            <w:vAlign w:val="center"/>
            <w:hideMark/>
          </w:tcPr>
          <w:p w14:paraId="54226982" w14:textId="77777777" w:rsidR="009E2D9F" w:rsidRPr="009E2D9F" w:rsidRDefault="009E2D9F" w:rsidP="009E2D9F">
            <w:pPr>
              <w:spacing w:after="0" w:line="240" w:lineRule="auto"/>
              <w:rPr>
                <w:rFonts w:ascii="Arial" w:eastAsia="Times New Roman" w:hAnsi="Arial" w:cs="Arial"/>
                <w:sz w:val="16"/>
                <w:szCs w:val="16"/>
                <w:lang w:eastAsia="fr-BE"/>
              </w:rPr>
            </w:pPr>
          </w:p>
        </w:tc>
      </w:tr>
      <w:tr w:rsidR="009E2D9F" w:rsidRPr="009E2D9F" w14:paraId="6FE0E87B" w14:textId="77777777" w:rsidTr="00F63922">
        <w:trPr>
          <w:trHeight w:val="1020"/>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0E74812E" w14:textId="604A9E95"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88 3°B</w:t>
            </w:r>
          </w:p>
        </w:tc>
        <w:tc>
          <w:tcPr>
            <w:tcW w:w="3756" w:type="dxa"/>
            <w:tcBorders>
              <w:top w:val="nil"/>
              <w:left w:val="nil"/>
              <w:bottom w:val="single" w:sz="4" w:space="0" w:color="auto"/>
              <w:right w:val="nil"/>
            </w:tcBorders>
            <w:shd w:val="clear" w:color="000000" w:fill="99FF99"/>
            <w:vAlign w:val="center"/>
            <w:hideMark/>
          </w:tcPr>
          <w:p w14:paraId="77ABEAC2"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3°. Dépôts de liquides inflammables dont le point d'éclair est supérieur à 55°C mais ne dépasse 100°C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dépôts dont la capacité totale sur le site est comprise entre 10.000 et 50.000 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195A1222"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3°. Opslagplaatsen voor ontvlambare vloeistoffen met een vlampunt hoger dan 55°C maar niet hoger dan 100°C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opslagplaatsen met een totale capaciteit op de site van 10.000 l tot en met 50.000 l </w:t>
            </w:r>
          </w:p>
        </w:tc>
        <w:tc>
          <w:tcPr>
            <w:tcW w:w="567" w:type="dxa"/>
            <w:tcBorders>
              <w:top w:val="nil"/>
              <w:left w:val="nil"/>
              <w:bottom w:val="single" w:sz="4" w:space="0" w:color="auto"/>
              <w:right w:val="nil"/>
            </w:tcBorders>
            <w:shd w:val="clear" w:color="000000" w:fill="99FF99"/>
            <w:vAlign w:val="center"/>
            <w:hideMark/>
          </w:tcPr>
          <w:p w14:paraId="2F766D5B"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vMerge/>
            <w:tcBorders>
              <w:top w:val="nil"/>
              <w:left w:val="single" w:sz="4" w:space="0" w:color="auto"/>
              <w:bottom w:val="single" w:sz="4" w:space="0" w:color="000000"/>
              <w:right w:val="single" w:sz="4" w:space="0" w:color="auto"/>
            </w:tcBorders>
            <w:vAlign w:val="center"/>
            <w:hideMark/>
          </w:tcPr>
          <w:p w14:paraId="6D4E0F14" w14:textId="77777777" w:rsidR="009E2D9F" w:rsidRPr="009E2D9F" w:rsidRDefault="009E2D9F" w:rsidP="009E2D9F">
            <w:pPr>
              <w:spacing w:after="0" w:line="240" w:lineRule="auto"/>
              <w:rPr>
                <w:rFonts w:ascii="Arial" w:eastAsia="Times New Roman" w:hAnsi="Arial" w:cs="Arial"/>
                <w:sz w:val="16"/>
                <w:szCs w:val="16"/>
                <w:lang w:eastAsia="fr-BE"/>
              </w:rPr>
            </w:pPr>
          </w:p>
        </w:tc>
        <w:tc>
          <w:tcPr>
            <w:tcW w:w="2835" w:type="dxa"/>
            <w:vMerge/>
            <w:tcBorders>
              <w:top w:val="nil"/>
              <w:left w:val="single" w:sz="4" w:space="0" w:color="auto"/>
              <w:bottom w:val="single" w:sz="4" w:space="0" w:color="000000"/>
              <w:right w:val="single" w:sz="8" w:space="0" w:color="auto"/>
            </w:tcBorders>
            <w:vAlign w:val="center"/>
            <w:hideMark/>
          </w:tcPr>
          <w:p w14:paraId="66A555FE" w14:textId="77777777" w:rsidR="009E2D9F" w:rsidRPr="009E2D9F" w:rsidRDefault="009E2D9F" w:rsidP="009E2D9F">
            <w:pPr>
              <w:spacing w:after="0" w:line="240" w:lineRule="auto"/>
              <w:rPr>
                <w:rFonts w:ascii="Arial" w:eastAsia="Times New Roman" w:hAnsi="Arial" w:cs="Arial"/>
                <w:sz w:val="16"/>
                <w:szCs w:val="16"/>
                <w:lang w:eastAsia="fr-BE"/>
              </w:rPr>
            </w:pPr>
          </w:p>
        </w:tc>
      </w:tr>
      <w:tr w:rsidR="009E2D9F" w:rsidRPr="009E2D9F" w14:paraId="5D95AAEC" w14:textId="77777777" w:rsidTr="00F63922">
        <w:trPr>
          <w:trHeight w:val="1020"/>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2243B683" w14:textId="785D6ACC"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b/>
                <w:bCs/>
                <w:sz w:val="16"/>
                <w:szCs w:val="16"/>
                <w:lang w:eastAsia="fr-BE"/>
              </w:rPr>
              <w:t>88 3°C</w:t>
            </w:r>
          </w:p>
        </w:tc>
        <w:tc>
          <w:tcPr>
            <w:tcW w:w="3756" w:type="dxa"/>
            <w:tcBorders>
              <w:top w:val="nil"/>
              <w:left w:val="nil"/>
              <w:bottom w:val="single" w:sz="4" w:space="0" w:color="auto"/>
              <w:right w:val="nil"/>
            </w:tcBorders>
            <w:shd w:val="clear" w:color="000000" w:fill="99FF99"/>
            <w:vAlign w:val="center"/>
            <w:hideMark/>
          </w:tcPr>
          <w:p w14:paraId="76076A6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3°. Dépôts de liquides inflammables dont le point d'éclair est supérieur à 55°C mais ne dépasse 100°C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dépôts dont la capacité totale sur le site est supérieure à 50.000 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158968CE"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3°. Opslagplaatsen voor ontvlambare vloeistoffen met een vlampunt hoger dan 55°C maar niet hoger dan 100°C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opslagplaatsen met een totale capaciteit op de site van meer dan 50.000 l</w:t>
            </w:r>
          </w:p>
        </w:tc>
        <w:tc>
          <w:tcPr>
            <w:tcW w:w="567" w:type="dxa"/>
            <w:tcBorders>
              <w:top w:val="nil"/>
              <w:left w:val="nil"/>
              <w:bottom w:val="single" w:sz="4" w:space="0" w:color="auto"/>
              <w:right w:val="nil"/>
            </w:tcBorders>
            <w:shd w:val="clear" w:color="000000" w:fill="99FF99"/>
            <w:vAlign w:val="center"/>
            <w:hideMark/>
          </w:tcPr>
          <w:p w14:paraId="53865EA8"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vMerge/>
            <w:tcBorders>
              <w:top w:val="nil"/>
              <w:left w:val="single" w:sz="4" w:space="0" w:color="auto"/>
              <w:bottom w:val="single" w:sz="4" w:space="0" w:color="000000"/>
              <w:right w:val="single" w:sz="4" w:space="0" w:color="auto"/>
            </w:tcBorders>
            <w:vAlign w:val="center"/>
            <w:hideMark/>
          </w:tcPr>
          <w:p w14:paraId="64EA393B" w14:textId="77777777" w:rsidR="009E2D9F" w:rsidRPr="009E2D9F" w:rsidRDefault="009E2D9F" w:rsidP="009E2D9F">
            <w:pPr>
              <w:spacing w:after="0" w:line="240" w:lineRule="auto"/>
              <w:rPr>
                <w:rFonts w:ascii="Arial" w:eastAsia="Times New Roman" w:hAnsi="Arial" w:cs="Arial"/>
                <w:sz w:val="16"/>
                <w:szCs w:val="16"/>
                <w:lang w:eastAsia="fr-BE"/>
              </w:rPr>
            </w:pPr>
          </w:p>
        </w:tc>
        <w:tc>
          <w:tcPr>
            <w:tcW w:w="2835" w:type="dxa"/>
            <w:vMerge/>
            <w:tcBorders>
              <w:top w:val="nil"/>
              <w:left w:val="single" w:sz="4" w:space="0" w:color="auto"/>
              <w:bottom w:val="single" w:sz="4" w:space="0" w:color="000000"/>
              <w:right w:val="single" w:sz="8" w:space="0" w:color="auto"/>
            </w:tcBorders>
            <w:vAlign w:val="center"/>
            <w:hideMark/>
          </w:tcPr>
          <w:p w14:paraId="08A28359" w14:textId="77777777" w:rsidR="009E2D9F" w:rsidRPr="009E2D9F" w:rsidRDefault="009E2D9F" w:rsidP="009E2D9F">
            <w:pPr>
              <w:spacing w:after="0" w:line="240" w:lineRule="auto"/>
              <w:rPr>
                <w:rFonts w:ascii="Arial" w:eastAsia="Times New Roman" w:hAnsi="Arial" w:cs="Arial"/>
                <w:sz w:val="16"/>
                <w:szCs w:val="16"/>
                <w:lang w:eastAsia="fr-BE"/>
              </w:rPr>
            </w:pPr>
          </w:p>
        </w:tc>
      </w:tr>
      <w:tr w:rsidR="009E2D9F" w:rsidRPr="009E2D9F" w14:paraId="616B748D" w14:textId="77777777" w:rsidTr="00F63922">
        <w:trPr>
          <w:trHeight w:val="2040"/>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51CB0569" w14:textId="6EF4167B"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88 4°A</w:t>
            </w:r>
          </w:p>
        </w:tc>
        <w:tc>
          <w:tcPr>
            <w:tcW w:w="3756" w:type="dxa"/>
            <w:tcBorders>
              <w:top w:val="nil"/>
              <w:left w:val="nil"/>
              <w:bottom w:val="single" w:sz="4" w:space="0" w:color="auto"/>
              <w:right w:val="nil"/>
            </w:tcBorders>
            <w:shd w:val="clear" w:color="000000" w:fill="99FF99"/>
            <w:vAlign w:val="center"/>
            <w:hideMark/>
          </w:tcPr>
          <w:p w14:paraId="0B966305"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4°. Dépôts de fuel lourd, huiles minérales ou synthétiques et liquides analogues ayant un point d'éclair déterminé en vase fermé d'après la norme NBN 52017 de plus de 100°C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xml:space="preserve">- dépôts jusqu'à 10.000 l lorsque qu'il s'agit de réservoirs enfouis ou destinés à l'approvisionnement de véhicules,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dépôts dont la capacité totale sur le site est comprise entre 3.000 et 10.000 l dans les autres cas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3617396"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4°. Opslagplaatsen voor zware stookolie, minerale of synthetische olie en voor gelijkaardige vloeistoffen met een vlampunt in een volgens de norm NBN 52017 gesloten </w:t>
            </w:r>
            <w:proofErr w:type="spellStart"/>
            <w:r w:rsidRPr="009E2D9F">
              <w:rPr>
                <w:rFonts w:ascii="Arial" w:eastAsia="Times New Roman" w:hAnsi="Arial" w:cs="Arial"/>
                <w:sz w:val="16"/>
                <w:szCs w:val="16"/>
                <w:lang w:val="nl-BE" w:eastAsia="fr-BE"/>
              </w:rPr>
              <w:t>récipiënt</w:t>
            </w:r>
            <w:proofErr w:type="spellEnd"/>
            <w:r w:rsidRPr="009E2D9F">
              <w:rPr>
                <w:rFonts w:ascii="Arial" w:eastAsia="Times New Roman" w:hAnsi="Arial" w:cs="Arial"/>
                <w:sz w:val="16"/>
                <w:szCs w:val="16"/>
                <w:lang w:val="nl-BE" w:eastAsia="fr-BE"/>
              </w:rPr>
              <w:t xml:space="preserve"> van meer dan 100°C :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 opslagplaatsen tot en met 10 000l bij ingegraven tank of tanks die bestemd zijn voor de bevoorrading van voertuigen,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opslagplaatsen met een totale capaciteit op de site van 3000 tot en met 10.000l in de andere gevallen</w:t>
            </w:r>
          </w:p>
        </w:tc>
        <w:tc>
          <w:tcPr>
            <w:tcW w:w="567" w:type="dxa"/>
            <w:tcBorders>
              <w:top w:val="nil"/>
              <w:left w:val="nil"/>
              <w:bottom w:val="single" w:sz="4" w:space="0" w:color="auto"/>
              <w:right w:val="nil"/>
            </w:tcBorders>
            <w:shd w:val="clear" w:color="000000" w:fill="99FF99"/>
            <w:vAlign w:val="center"/>
            <w:hideMark/>
          </w:tcPr>
          <w:p w14:paraId="6C9C00E1"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3</w:t>
            </w:r>
          </w:p>
        </w:tc>
        <w:tc>
          <w:tcPr>
            <w:tcW w:w="2835" w:type="dxa"/>
            <w:vMerge/>
            <w:tcBorders>
              <w:top w:val="nil"/>
              <w:left w:val="single" w:sz="4" w:space="0" w:color="auto"/>
              <w:bottom w:val="single" w:sz="4" w:space="0" w:color="000000"/>
              <w:right w:val="single" w:sz="4" w:space="0" w:color="auto"/>
            </w:tcBorders>
            <w:vAlign w:val="center"/>
            <w:hideMark/>
          </w:tcPr>
          <w:p w14:paraId="37DAAB34" w14:textId="77777777" w:rsidR="009E2D9F" w:rsidRPr="009E2D9F" w:rsidRDefault="009E2D9F" w:rsidP="009E2D9F">
            <w:pPr>
              <w:spacing w:after="0" w:line="240" w:lineRule="auto"/>
              <w:rPr>
                <w:rFonts w:ascii="Arial" w:eastAsia="Times New Roman" w:hAnsi="Arial" w:cs="Arial"/>
                <w:sz w:val="16"/>
                <w:szCs w:val="16"/>
                <w:lang w:eastAsia="fr-BE"/>
              </w:rPr>
            </w:pPr>
          </w:p>
        </w:tc>
        <w:tc>
          <w:tcPr>
            <w:tcW w:w="2835" w:type="dxa"/>
            <w:vMerge/>
            <w:tcBorders>
              <w:top w:val="nil"/>
              <w:left w:val="single" w:sz="4" w:space="0" w:color="auto"/>
              <w:bottom w:val="single" w:sz="4" w:space="0" w:color="000000"/>
              <w:right w:val="single" w:sz="8" w:space="0" w:color="auto"/>
            </w:tcBorders>
            <w:vAlign w:val="center"/>
            <w:hideMark/>
          </w:tcPr>
          <w:p w14:paraId="5AE6C048" w14:textId="77777777" w:rsidR="009E2D9F" w:rsidRPr="009E2D9F" w:rsidRDefault="009E2D9F" w:rsidP="009E2D9F">
            <w:pPr>
              <w:spacing w:after="0" w:line="240" w:lineRule="auto"/>
              <w:rPr>
                <w:rFonts w:ascii="Arial" w:eastAsia="Times New Roman" w:hAnsi="Arial" w:cs="Arial"/>
                <w:sz w:val="16"/>
                <w:szCs w:val="16"/>
                <w:lang w:eastAsia="fr-BE"/>
              </w:rPr>
            </w:pPr>
          </w:p>
        </w:tc>
      </w:tr>
      <w:tr w:rsidR="009E2D9F" w:rsidRPr="009E2D9F" w14:paraId="7AE300B0" w14:textId="77777777" w:rsidTr="00F63922">
        <w:trPr>
          <w:trHeight w:val="1224"/>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726342BA" w14:textId="05D12AA4"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88 4°B</w:t>
            </w:r>
          </w:p>
        </w:tc>
        <w:tc>
          <w:tcPr>
            <w:tcW w:w="3756" w:type="dxa"/>
            <w:tcBorders>
              <w:top w:val="nil"/>
              <w:left w:val="nil"/>
              <w:bottom w:val="single" w:sz="4" w:space="0" w:color="auto"/>
              <w:right w:val="nil"/>
            </w:tcBorders>
            <w:shd w:val="clear" w:color="000000" w:fill="99FF99"/>
            <w:vAlign w:val="center"/>
            <w:hideMark/>
          </w:tcPr>
          <w:p w14:paraId="5B73A48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4°. Dépôts de fuel lourd, huiles minérales ou synthétiques et liquides analogues ayant un point d'éclair déterminé en vase fermé d'après la norme NBN 52017 de plus de 100°C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dépôts dont la capacité totale sur le site est supérieure à 10.000l jusqu'à 100.000l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7E7C372B"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4°. Opslagplaatsen voor zware stookolie, minerale of synthetische olie en voor gelijkaardige vloeistoffen met een vlampunt in een volgens de norm NBN 52017 gesloten </w:t>
            </w:r>
            <w:proofErr w:type="spellStart"/>
            <w:r w:rsidRPr="009E2D9F">
              <w:rPr>
                <w:rFonts w:ascii="Arial" w:eastAsia="Times New Roman" w:hAnsi="Arial" w:cs="Arial"/>
                <w:sz w:val="16"/>
                <w:szCs w:val="16"/>
                <w:lang w:val="nl-BE" w:eastAsia="fr-BE"/>
              </w:rPr>
              <w:t>recipiënt</w:t>
            </w:r>
            <w:proofErr w:type="spellEnd"/>
            <w:r w:rsidRPr="009E2D9F">
              <w:rPr>
                <w:rFonts w:ascii="Arial" w:eastAsia="Times New Roman" w:hAnsi="Arial" w:cs="Arial"/>
                <w:sz w:val="16"/>
                <w:szCs w:val="16"/>
                <w:lang w:val="nl-BE" w:eastAsia="fr-BE"/>
              </w:rPr>
              <w:t xml:space="preserve"> van meer dan 100°C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opslagplaatsen met een totale capaciteit op de site van 10.000l tot en met 100.000 l</w:t>
            </w:r>
          </w:p>
        </w:tc>
        <w:tc>
          <w:tcPr>
            <w:tcW w:w="567" w:type="dxa"/>
            <w:tcBorders>
              <w:top w:val="nil"/>
              <w:left w:val="nil"/>
              <w:bottom w:val="single" w:sz="4" w:space="0" w:color="auto"/>
              <w:right w:val="nil"/>
            </w:tcBorders>
            <w:shd w:val="clear" w:color="000000" w:fill="99FF99"/>
            <w:vAlign w:val="center"/>
            <w:hideMark/>
          </w:tcPr>
          <w:p w14:paraId="7E5D622E"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vMerge/>
            <w:tcBorders>
              <w:top w:val="nil"/>
              <w:left w:val="single" w:sz="4" w:space="0" w:color="auto"/>
              <w:bottom w:val="single" w:sz="4" w:space="0" w:color="000000"/>
              <w:right w:val="single" w:sz="4" w:space="0" w:color="auto"/>
            </w:tcBorders>
            <w:vAlign w:val="center"/>
            <w:hideMark/>
          </w:tcPr>
          <w:p w14:paraId="5F8C7EC3" w14:textId="77777777" w:rsidR="009E2D9F" w:rsidRPr="009E2D9F" w:rsidRDefault="009E2D9F" w:rsidP="009E2D9F">
            <w:pPr>
              <w:spacing w:after="0" w:line="240" w:lineRule="auto"/>
              <w:rPr>
                <w:rFonts w:ascii="Arial" w:eastAsia="Times New Roman" w:hAnsi="Arial" w:cs="Arial"/>
                <w:sz w:val="16"/>
                <w:szCs w:val="16"/>
                <w:lang w:eastAsia="fr-BE"/>
              </w:rPr>
            </w:pPr>
          </w:p>
        </w:tc>
        <w:tc>
          <w:tcPr>
            <w:tcW w:w="2835" w:type="dxa"/>
            <w:vMerge/>
            <w:tcBorders>
              <w:top w:val="nil"/>
              <w:left w:val="single" w:sz="4" w:space="0" w:color="auto"/>
              <w:bottom w:val="single" w:sz="4" w:space="0" w:color="000000"/>
              <w:right w:val="single" w:sz="8" w:space="0" w:color="auto"/>
            </w:tcBorders>
            <w:vAlign w:val="center"/>
            <w:hideMark/>
          </w:tcPr>
          <w:p w14:paraId="2BE7E904" w14:textId="77777777" w:rsidR="009E2D9F" w:rsidRPr="009E2D9F" w:rsidRDefault="009E2D9F" w:rsidP="009E2D9F">
            <w:pPr>
              <w:spacing w:after="0" w:line="240" w:lineRule="auto"/>
              <w:rPr>
                <w:rFonts w:ascii="Arial" w:eastAsia="Times New Roman" w:hAnsi="Arial" w:cs="Arial"/>
                <w:sz w:val="16"/>
                <w:szCs w:val="16"/>
                <w:lang w:eastAsia="fr-BE"/>
              </w:rPr>
            </w:pPr>
          </w:p>
        </w:tc>
      </w:tr>
      <w:tr w:rsidR="009E2D9F" w:rsidRPr="009E2D9F" w14:paraId="239B9457" w14:textId="77777777" w:rsidTr="00F63922">
        <w:trPr>
          <w:trHeight w:val="1020"/>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719E4FA7" w14:textId="5DC91189"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88 4°C</w:t>
            </w:r>
          </w:p>
        </w:tc>
        <w:tc>
          <w:tcPr>
            <w:tcW w:w="3756" w:type="dxa"/>
            <w:tcBorders>
              <w:top w:val="nil"/>
              <w:left w:val="nil"/>
              <w:bottom w:val="single" w:sz="4" w:space="0" w:color="auto"/>
              <w:right w:val="nil"/>
            </w:tcBorders>
            <w:shd w:val="clear" w:color="000000" w:fill="99FF99"/>
            <w:vAlign w:val="center"/>
            <w:hideMark/>
          </w:tcPr>
          <w:p w14:paraId="22847D2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4°. Dépôts de fuel lourd, huiles minérales ou synthétiques et liquides analogues ayant un point d'éclair déterminé en vase fermé d'après la norme NBN 52017 de plus de 100°C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dépôts dont la capacité totale sur le site est de plus de 100.000l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4FC19975"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4°. Opslagplaatsen voor zware stookolie, minerale of synthetische olie en voor gelijkaardige vloeistoffen met een vlampunt in een volgens de norm NBN 52017 gesloten </w:t>
            </w:r>
            <w:proofErr w:type="spellStart"/>
            <w:r w:rsidRPr="009E2D9F">
              <w:rPr>
                <w:rFonts w:ascii="Arial" w:eastAsia="Times New Roman" w:hAnsi="Arial" w:cs="Arial"/>
                <w:sz w:val="16"/>
                <w:szCs w:val="16"/>
                <w:lang w:val="nl-BE" w:eastAsia="fr-BE"/>
              </w:rPr>
              <w:t>recipiënt</w:t>
            </w:r>
            <w:proofErr w:type="spellEnd"/>
            <w:r w:rsidRPr="009E2D9F">
              <w:rPr>
                <w:rFonts w:ascii="Arial" w:eastAsia="Times New Roman" w:hAnsi="Arial" w:cs="Arial"/>
                <w:sz w:val="16"/>
                <w:szCs w:val="16"/>
                <w:lang w:val="nl-BE" w:eastAsia="fr-BE"/>
              </w:rPr>
              <w:t xml:space="preserve"> van meer dan 100°C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opslagplaatsen met een totale capaciteit op de site van meer dan 100.000l</w:t>
            </w:r>
          </w:p>
        </w:tc>
        <w:tc>
          <w:tcPr>
            <w:tcW w:w="567" w:type="dxa"/>
            <w:tcBorders>
              <w:top w:val="nil"/>
              <w:left w:val="nil"/>
              <w:bottom w:val="single" w:sz="4" w:space="0" w:color="auto"/>
              <w:right w:val="nil"/>
            </w:tcBorders>
            <w:shd w:val="clear" w:color="000000" w:fill="99FF99"/>
            <w:vAlign w:val="center"/>
            <w:hideMark/>
          </w:tcPr>
          <w:p w14:paraId="5128ED01"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vMerge/>
            <w:tcBorders>
              <w:top w:val="nil"/>
              <w:left w:val="single" w:sz="4" w:space="0" w:color="auto"/>
              <w:bottom w:val="single" w:sz="4" w:space="0" w:color="000000"/>
              <w:right w:val="single" w:sz="4" w:space="0" w:color="auto"/>
            </w:tcBorders>
            <w:vAlign w:val="center"/>
            <w:hideMark/>
          </w:tcPr>
          <w:p w14:paraId="2A190E7D" w14:textId="77777777" w:rsidR="009E2D9F" w:rsidRPr="009E2D9F" w:rsidRDefault="009E2D9F" w:rsidP="009E2D9F">
            <w:pPr>
              <w:spacing w:after="0" w:line="240" w:lineRule="auto"/>
              <w:rPr>
                <w:rFonts w:ascii="Arial" w:eastAsia="Times New Roman" w:hAnsi="Arial" w:cs="Arial"/>
                <w:sz w:val="16"/>
                <w:szCs w:val="16"/>
                <w:lang w:eastAsia="fr-BE"/>
              </w:rPr>
            </w:pPr>
          </w:p>
        </w:tc>
        <w:tc>
          <w:tcPr>
            <w:tcW w:w="2835" w:type="dxa"/>
            <w:vMerge/>
            <w:tcBorders>
              <w:top w:val="nil"/>
              <w:left w:val="single" w:sz="4" w:space="0" w:color="auto"/>
              <w:bottom w:val="single" w:sz="4" w:space="0" w:color="000000"/>
              <w:right w:val="single" w:sz="8" w:space="0" w:color="auto"/>
            </w:tcBorders>
            <w:vAlign w:val="center"/>
            <w:hideMark/>
          </w:tcPr>
          <w:p w14:paraId="1E4DA40F" w14:textId="77777777" w:rsidR="009E2D9F" w:rsidRPr="009E2D9F" w:rsidRDefault="009E2D9F" w:rsidP="009E2D9F">
            <w:pPr>
              <w:spacing w:after="0" w:line="240" w:lineRule="auto"/>
              <w:rPr>
                <w:rFonts w:ascii="Arial" w:eastAsia="Times New Roman" w:hAnsi="Arial" w:cs="Arial"/>
                <w:sz w:val="16"/>
                <w:szCs w:val="16"/>
                <w:lang w:eastAsia="fr-BE"/>
              </w:rPr>
            </w:pPr>
          </w:p>
        </w:tc>
      </w:tr>
      <w:tr w:rsidR="009E2D9F" w:rsidRPr="003D427D" w14:paraId="1F52AF2E" w14:textId="77777777" w:rsidTr="00F63922">
        <w:trPr>
          <w:trHeight w:val="972"/>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22968C9F" w14:textId="309F6B1E"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93 B</w:t>
            </w:r>
          </w:p>
        </w:tc>
        <w:tc>
          <w:tcPr>
            <w:tcW w:w="3756" w:type="dxa"/>
            <w:tcBorders>
              <w:top w:val="nil"/>
              <w:left w:val="nil"/>
              <w:bottom w:val="single" w:sz="4" w:space="0" w:color="auto"/>
              <w:right w:val="nil"/>
            </w:tcBorders>
            <w:shd w:val="clear" w:color="000000" w:fill="99FF99"/>
            <w:vAlign w:val="center"/>
            <w:hideMark/>
          </w:tcPr>
          <w:p w14:paraId="29531A87"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Ateliers pour la </w:t>
            </w:r>
            <w:proofErr w:type="spellStart"/>
            <w:r w:rsidRPr="009E2D9F">
              <w:rPr>
                <w:rFonts w:ascii="Arial" w:eastAsia="Times New Roman" w:hAnsi="Arial" w:cs="Arial"/>
                <w:sz w:val="16"/>
                <w:szCs w:val="16"/>
                <w:lang w:eastAsia="fr-BE"/>
              </w:rPr>
              <w:t>synthese</w:t>
            </w:r>
            <w:proofErr w:type="spellEnd"/>
            <w:r w:rsidRPr="009E2D9F">
              <w:rPr>
                <w:rFonts w:ascii="Arial" w:eastAsia="Times New Roman" w:hAnsi="Arial" w:cs="Arial"/>
                <w:sz w:val="16"/>
                <w:szCs w:val="16"/>
                <w:lang w:eastAsia="fr-BE"/>
              </w:rPr>
              <w:t>, la fabrication, la vulcanisation, le façonnage de matières synthétiques, de plastique, de caoutchouc, ou autres matières similaires, dont la force motrice totale est : supérieure à 20 kW</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742D683C"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Werkplaatsen voor de synthese, de productie, de </w:t>
            </w:r>
            <w:proofErr w:type="spellStart"/>
            <w:r w:rsidRPr="009E2D9F">
              <w:rPr>
                <w:rFonts w:ascii="Arial" w:eastAsia="Times New Roman" w:hAnsi="Arial" w:cs="Arial"/>
                <w:sz w:val="16"/>
                <w:szCs w:val="16"/>
                <w:lang w:val="nl-BE" w:eastAsia="fr-BE"/>
              </w:rPr>
              <w:t>vulkanisering</w:t>
            </w:r>
            <w:proofErr w:type="spellEnd"/>
            <w:r w:rsidRPr="009E2D9F">
              <w:rPr>
                <w:rFonts w:ascii="Arial" w:eastAsia="Times New Roman" w:hAnsi="Arial" w:cs="Arial"/>
                <w:sz w:val="16"/>
                <w:szCs w:val="16"/>
                <w:lang w:val="nl-BE" w:eastAsia="fr-BE"/>
              </w:rPr>
              <w:t>, de bewerking van synthetische materialen, kunststof, rubber of soortgelijke materialen, met een drijfkracht: groter dan 20 kW</w:t>
            </w:r>
          </w:p>
        </w:tc>
        <w:tc>
          <w:tcPr>
            <w:tcW w:w="567" w:type="dxa"/>
            <w:tcBorders>
              <w:top w:val="nil"/>
              <w:left w:val="nil"/>
              <w:bottom w:val="single" w:sz="4" w:space="0" w:color="auto"/>
              <w:right w:val="nil"/>
            </w:tcBorders>
            <w:shd w:val="clear" w:color="000000" w:fill="99FF99"/>
            <w:vAlign w:val="center"/>
            <w:hideMark/>
          </w:tcPr>
          <w:p w14:paraId="0D04B2AC"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0847211E"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Les ateliers qui réalisent uniquement du façonnage ne sont pas considérées comme des activités à risque</w:t>
            </w:r>
          </w:p>
        </w:tc>
        <w:tc>
          <w:tcPr>
            <w:tcW w:w="2835" w:type="dxa"/>
            <w:tcBorders>
              <w:top w:val="nil"/>
              <w:left w:val="nil"/>
              <w:bottom w:val="single" w:sz="4" w:space="0" w:color="auto"/>
              <w:right w:val="single" w:sz="8" w:space="0" w:color="auto"/>
            </w:tcBorders>
            <w:shd w:val="clear" w:color="000000" w:fill="CCFFCC"/>
            <w:vAlign w:val="center"/>
            <w:hideMark/>
          </w:tcPr>
          <w:p w14:paraId="2BCE2AF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De inrichtingen die uitsluitend bewerking uitoefenen worden niet als risicoactiviteiten beschouwd</w:t>
            </w:r>
          </w:p>
        </w:tc>
      </w:tr>
      <w:tr w:rsidR="009E2D9F" w:rsidRPr="003D427D" w14:paraId="2EB0A6B5" w14:textId="77777777" w:rsidTr="00F63922">
        <w:trPr>
          <w:trHeight w:val="939"/>
          <w:jc w:val="center"/>
        </w:trPr>
        <w:tc>
          <w:tcPr>
            <w:tcW w:w="0" w:type="auto"/>
            <w:tcBorders>
              <w:top w:val="nil"/>
              <w:left w:val="single" w:sz="8" w:space="0" w:color="auto"/>
              <w:bottom w:val="single" w:sz="4" w:space="0" w:color="auto"/>
              <w:right w:val="single" w:sz="4" w:space="0" w:color="auto"/>
            </w:tcBorders>
            <w:shd w:val="clear" w:color="000000" w:fill="92D050"/>
            <w:noWrap/>
            <w:vAlign w:val="center"/>
            <w:hideMark/>
          </w:tcPr>
          <w:p w14:paraId="421737B3" w14:textId="3606B279" w:rsidR="009E2D9F" w:rsidRPr="009E2D9F" w:rsidRDefault="009E2D9F" w:rsidP="009E2D9F">
            <w:pPr>
              <w:spacing w:after="0" w:line="240" w:lineRule="auto"/>
              <w:jc w:val="center"/>
              <w:rPr>
                <w:rFonts w:ascii="Arial" w:eastAsia="Times New Roman" w:hAnsi="Arial" w:cs="Arial"/>
                <w:b/>
                <w:bCs/>
                <w:color w:val="000000"/>
                <w:sz w:val="16"/>
                <w:szCs w:val="16"/>
                <w:lang w:eastAsia="fr-BE"/>
              </w:rPr>
            </w:pPr>
            <w:r w:rsidRPr="009E2D9F">
              <w:rPr>
                <w:rFonts w:ascii="Arial" w:eastAsia="Times New Roman" w:hAnsi="Arial" w:cs="Arial"/>
                <w:b/>
                <w:bCs/>
                <w:color w:val="000000"/>
                <w:sz w:val="16"/>
                <w:szCs w:val="16"/>
                <w:lang w:eastAsia="fr-BE"/>
              </w:rPr>
              <w:t>97 A</w:t>
            </w:r>
          </w:p>
        </w:tc>
        <w:tc>
          <w:tcPr>
            <w:tcW w:w="3756" w:type="dxa"/>
            <w:tcBorders>
              <w:top w:val="nil"/>
              <w:left w:val="nil"/>
              <w:bottom w:val="single" w:sz="4" w:space="0" w:color="auto"/>
              <w:right w:val="nil"/>
            </w:tcBorders>
            <w:shd w:val="clear" w:color="000000" w:fill="99FF99"/>
            <w:vAlign w:val="center"/>
            <w:hideMark/>
          </w:tcPr>
          <w:p w14:paraId="6DA6F94D"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Installations de traitement de surface par immersion de métaux ou de matières plastiques utilisant un </w:t>
            </w:r>
            <w:proofErr w:type="spellStart"/>
            <w:r w:rsidRPr="009E2D9F">
              <w:rPr>
                <w:rFonts w:ascii="Arial" w:eastAsia="Times New Roman" w:hAnsi="Arial" w:cs="Arial"/>
                <w:sz w:val="16"/>
                <w:szCs w:val="16"/>
                <w:lang w:eastAsia="fr-BE"/>
              </w:rPr>
              <w:t>procedé</w:t>
            </w:r>
            <w:proofErr w:type="spellEnd"/>
            <w:r w:rsidRPr="009E2D9F">
              <w:rPr>
                <w:rFonts w:ascii="Arial" w:eastAsia="Times New Roman" w:hAnsi="Arial" w:cs="Arial"/>
                <w:sz w:val="16"/>
                <w:szCs w:val="16"/>
                <w:lang w:eastAsia="fr-BE"/>
              </w:rPr>
              <w:t xml:space="preserve"> électrolytique, chimique ou physique dont les bains ont une contenance totale comprise entre 10 et 200l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39B6E566"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Installaties voor oppervlaktebehandeling door onderdompeling van metalen of kunststoffen door middel van een elektrolytisch, chemisch of fysisch procedé in kuipen met een totale inhoud van 10 tot en met 200l</w:t>
            </w:r>
          </w:p>
        </w:tc>
        <w:tc>
          <w:tcPr>
            <w:tcW w:w="567" w:type="dxa"/>
            <w:tcBorders>
              <w:top w:val="nil"/>
              <w:left w:val="nil"/>
              <w:bottom w:val="single" w:sz="4" w:space="0" w:color="auto"/>
              <w:right w:val="nil"/>
            </w:tcBorders>
            <w:shd w:val="clear" w:color="000000" w:fill="99FF99"/>
            <w:vAlign w:val="center"/>
            <w:hideMark/>
          </w:tcPr>
          <w:p w14:paraId="388B5F95"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vMerge w:val="restart"/>
            <w:tcBorders>
              <w:top w:val="nil"/>
              <w:left w:val="single" w:sz="4" w:space="0" w:color="auto"/>
              <w:bottom w:val="single" w:sz="4" w:space="0" w:color="000000"/>
              <w:right w:val="single" w:sz="4" w:space="0" w:color="auto"/>
            </w:tcBorders>
            <w:shd w:val="clear" w:color="000000" w:fill="CCFFCC"/>
            <w:vAlign w:val="center"/>
            <w:hideMark/>
          </w:tcPr>
          <w:p w14:paraId="55DEB5B0"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à risque les installations ou sont utilisés des liquides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vMerge w:val="restart"/>
            <w:tcBorders>
              <w:top w:val="nil"/>
              <w:left w:val="single" w:sz="4" w:space="0" w:color="auto"/>
              <w:bottom w:val="single" w:sz="4" w:space="0" w:color="000000"/>
              <w:right w:val="single" w:sz="8" w:space="0" w:color="auto"/>
            </w:tcBorders>
            <w:shd w:val="clear" w:color="000000" w:fill="CCFFCC"/>
            <w:vAlign w:val="center"/>
            <w:hideMark/>
          </w:tcPr>
          <w:p w14:paraId="5BED039E" w14:textId="77777777" w:rsidR="009E2D9F" w:rsidRPr="009E2D9F" w:rsidRDefault="009E2D9F" w:rsidP="009E2D9F">
            <w:pPr>
              <w:spacing w:after="0" w:line="240" w:lineRule="auto"/>
              <w:jc w:val="center"/>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uitsluitend als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beschouwd de inrichtingen waar </w:t>
            </w:r>
            <w:proofErr w:type="spellStart"/>
            <w:r w:rsidRPr="009E2D9F">
              <w:rPr>
                <w:rFonts w:ascii="Arial" w:eastAsia="Times New Roman" w:hAnsi="Arial" w:cs="Arial"/>
                <w:sz w:val="16"/>
                <w:szCs w:val="16"/>
                <w:lang w:val="nl-BE" w:eastAsia="fr-BE"/>
              </w:rPr>
              <w:t>gebuik</w:t>
            </w:r>
            <w:proofErr w:type="spellEnd"/>
            <w:r w:rsidRPr="009E2D9F">
              <w:rPr>
                <w:rFonts w:ascii="Arial" w:eastAsia="Times New Roman" w:hAnsi="Arial" w:cs="Arial"/>
                <w:sz w:val="16"/>
                <w:szCs w:val="16"/>
                <w:lang w:val="nl-BE" w:eastAsia="fr-BE"/>
              </w:rPr>
              <w:t xml:space="preserve"> wordt gemaakt van vloeistoffen die volgens de CLP-verordening geklasseerd zijn als producten die een risico of een gevaar voor de gezondheid inhouden, anders dan corrosief en irriterend, of voor het leefmilieu, anders dan voor de ozonlaag*</w:t>
            </w:r>
          </w:p>
        </w:tc>
      </w:tr>
      <w:tr w:rsidR="009E2D9F" w:rsidRPr="009E2D9F" w14:paraId="77D82FF0" w14:textId="77777777" w:rsidTr="00F63922">
        <w:trPr>
          <w:trHeight w:val="112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49F82D38" w14:textId="4F8077EE"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97 B</w:t>
            </w:r>
          </w:p>
        </w:tc>
        <w:tc>
          <w:tcPr>
            <w:tcW w:w="3756" w:type="dxa"/>
            <w:tcBorders>
              <w:top w:val="nil"/>
              <w:left w:val="nil"/>
              <w:bottom w:val="single" w:sz="4" w:space="0" w:color="auto"/>
              <w:right w:val="nil"/>
            </w:tcBorders>
            <w:shd w:val="clear" w:color="000000" w:fill="99FF99"/>
            <w:vAlign w:val="center"/>
            <w:hideMark/>
          </w:tcPr>
          <w:p w14:paraId="783661B3"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Installations de traitement de surface par immersion de métaux ou de matières plastiques utilisant un </w:t>
            </w:r>
            <w:proofErr w:type="spellStart"/>
            <w:r w:rsidRPr="009E2D9F">
              <w:rPr>
                <w:rFonts w:ascii="Arial" w:eastAsia="Times New Roman" w:hAnsi="Arial" w:cs="Arial"/>
                <w:sz w:val="16"/>
                <w:szCs w:val="16"/>
                <w:lang w:eastAsia="fr-BE"/>
              </w:rPr>
              <w:t>procedé</w:t>
            </w:r>
            <w:proofErr w:type="spellEnd"/>
            <w:r w:rsidRPr="009E2D9F">
              <w:rPr>
                <w:rFonts w:ascii="Arial" w:eastAsia="Times New Roman" w:hAnsi="Arial" w:cs="Arial"/>
                <w:sz w:val="16"/>
                <w:szCs w:val="16"/>
                <w:lang w:eastAsia="fr-BE"/>
              </w:rPr>
              <w:t xml:space="preserve"> électrolytique, chimique ou physique dont les bains ont une contenance totale supérieure à  200l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94F1A32"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Installaties voor oppervlaktebehandeling door onderdompeling van metalen of kunststoffen door middel van een elektrolytisch, chemisch of fysisch procedé in kuipen met een totale inhoud groter dan 200l</w:t>
            </w:r>
          </w:p>
        </w:tc>
        <w:tc>
          <w:tcPr>
            <w:tcW w:w="567" w:type="dxa"/>
            <w:tcBorders>
              <w:top w:val="nil"/>
              <w:left w:val="nil"/>
              <w:bottom w:val="single" w:sz="4" w:space="0" w:color="auto"/>
              <w:right w:val="nil"/>
            </w:tcBorders>
            <w:shd w:val="clear" w:color="000000" w:fill="99FF99"/>
            <w:vAlign w:val="center"/>
            <w:hideMark/>
          </w:tcPr>
          <w:p w14:paraId="4AACC7E8"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vMerge/>
            <w:tcBorders>
              <w:top w:val="nil"/>
              <w:left w:val="single" w:sz="4" w:space="0" w:color="auto"/>
              <w:bottom w:val="single" w:sz="4" w:space="0" w:color="000000"/>
              <w:right w:val="single" w:sz="4" w:space="0" w:color="auto"/>
            </w:tcBorders>
            <w:vAlign w:val="center"/>
            <w:hideMark/>
          </w:tcPr>
          <w:p w14:paraId="617DDDA8" w14:textId="77777777" w:rsidR="009E2D9F" w:rsidRPr="009E2D9F" w:rsidRDefault="009E2D9F" w:rsidP="009E2D9F">
            <w:pPr>
              <w:spacing w:after="0" w:line="240" w:lineRule="auto"/>
              <w:rPr>
                <w:rFonts w:ascii="Arial" w:eastAsia="Times New Roman" w:hAnsi="Arial" w:cs="Arial"/>
                <w:sz w:val="16"/>
                <w:szCs w:val="16"/>
                <w:lang w:eastAsia="fr-BE"/>
              </w:rPr>
            </w:pPr>
          </w:p>
        </w:tc>
        <w:tc>
          <w:tcPr>
            <w:tcW w:w="2835" w:type="dxa"/>
            <w:vMerge/>
            <w:tcBorders>
              <w:top w:val="nil"/>
              <w:left w:val="single" w:sz="4" w:space="0" w:color="auto"/>
              <w:bottom w:val="single" w:sz="4" w:space="0" w:color="000000"/>
              <w:right w:val="single" w:sz="8" w:space="0" w:color="auto"/>
            </w:tcBorders>
            <w:vAlign w:val="center"/>
            <w:hideMark/>
          </w:tcPr>
          <w:p w14:paraId="34AD4FB9" w14:textId="77777777" w:rsidR="009E2D9F" w:rsidRPr="009E2D9F" w:rsidRDefault="009E2D9F" w:rsidP="009E2D9F">
            <w:pPr>
              <w:spacing w:after="0" w:line="240" w:lineRule="auto"/>
              <w:rPr>
                <w:rFonts w:ascii="Arial" w:eastAsia="Times New Roman" w:hAnsi="Arial" w:cs="Arial"/>
                <w:sz w:val="16"/>
                <w:szCs w:val="16"/>
                <w:lang w:eastAsia="fr-BE"/>
              </w:rPr>
            </w:pPr>
          </w:p>
        </w:tc>
      </w:tr>
      <w:tr w:rsidR="009E2D9F" w:rsidRPr="009E2D9F" w14:paraId="7E5CE3C3" w14:textId="77777777" w:rsidTr="00F63922">
        <w:trPr>
          <w:trHeight w:val="154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3BB4122F" w14:textId="3E19A6D9"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97 C</w:t>
            </w:r>
          </w:p>
        </w:tc>
        <w:tc>
          <w:tcPr>
            <w:tcW w:w="3756" w:type="dxa"/>
            <w:tcBorders>
              <w:top w:val="nil"/>
              <w:left w:val="nil"/>
              <w:bottom w:val="single" w:sz="4" w:space="0" w:color="auto"/>
              <w:right w:val="nil"/>
            </w:tcBorders>
            <w:shd w:val="clear" w:color="000000" w:fill="99FF99"/>
            <w:vAlign w:val="center"/>
            <w:hideMark/>
          </w:tcPr>
          <w:p w14:paraId="23166DE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non reprises sous une autre rubrique, destinées au traitement de surface de matières, d'objets ou de produits et ayant recours à l'utilisation de solvants organiques, notamment pour les opérations d'apprêt, d'impression, de couchage, de dégraissage, d'</w:t>
            </w:r>
            <w:proofErr w:type="spellStart"/>
            <w:r w:rsidRPr="009E2D9F">
              <w:rPr>
                <w:rFonts w:ascii="Arial" w:eastAsia="Times New Roman" w:hAnsi="Arial" w:cs="Arial"/>
                <w:sz w:val="16"/>
                <w:szCs w:val="16"/>
                <w:lang w:eastAsia="fr-BE"/>
              </w:rPr>
              <w:t>imperméablisation</w:t>
            </w:r>
            <w:proofErr w:type="spellEnd"/>
            <w:r w:rsidRPr="009E2D9F">
              <w:rPr>
                <w:rFonts w:ascii="Arial" w:eastAsia="Times New Roman" w:hAnsi="Arial" w:cs="Arial"/>
                <w:sz w:val="16"/>
                <w:szCs w:val="16"/>
                <w:lang w:eastAsia="fr-BE"/>
              </w:rPr>
              <w:t>, de collage, de peinture, de nettoyage ou d'imprégnation d'une capacité de consommation de solvant de plus de 150 kg par heure ou supérieure à 200 tonnes par an</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E828E88"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Niet in een andere rubriek vermelde inrichtingen voor het bewerken van materiaal-oppervlakken, voorwerpen of producten met behulp van organische </w:t>
            </w:r>
            <w:proofErr w:type="spellStart"/>
            <w:r w:rsidRPr="009E2D9F">
              <w:rPr>
                <w:rFonts w:ascii="Arial" w:eastAsia="Times New Roman" w:hAnsi="Arial" w:cs="Arial"/>
                <w:sz w:val="16"/>
                <w:szCs w:val="16"/>
                <w:lang w:val="nl-BE" w:eastAsia="fr-BE"/>
              </w:rPr>
              <w:t>solventen</w:t>
            </w:r>
            <w:proofErr w:type="spellEnd"/>
            <w:r w:rsidRPr="009E2D9F">
              <w:rPr>
                <w:rFonts w:ascii="Arial" w:eastAsia="Times New Roman" w:hAnsi="Arial" w:cs="Arial"/>
                <w:sz w:val="16"/>
                <w:szCs w:val="16"/>
                <w:lang w:val="nl-BE" w:eastAsia="fr-BE"/>
              </w:rPr>
              <w:t xml:space="preserve">, met name voor de aanmaak, het bedrukken, het bekleden, het ontvetten, het </w:t>
            </w:r>
            <w:proofErr w:type="spellStart"/>
            <w:r w:rsidRPr="009E2D9F">
              <w:rPr>
                <w:rFonts w:ascii="Arial" w:eastAsia="Times New Roman" w:hAnsi="Arial" w:cs="Arial"/>
                <w:sz w:val="16"/>
                <w:szCs w:val="16"/>
                <w:lang w:val="nl-BE" w:eastAsia="fr-BE"/>
              </w:rPr>
              <w:t>waterdichtmaken</w:t>
            </w:r>
            <w:proofErr w:type="spellEnd"/>
            <w:r w:rsidRPr="009E2D9F">
              <w:rPr>
                <w:rFonts w:ascii="Arial" w:eastAsia="Times New Roman" w:hAnsi="Arial" w:cs="Arial"/>
                <w:sz w:val="16"/>
                <w:szCs w:val="16"/>
                <w:lang w:val="nl-BE" w:eastAsia="fr-BE"/>
              </w:rPr>
              <w:t>, het lijmen, het verven, het reinigen of impregneren, met een solventenverbruik van meer dan 150kg per uur of meer dan 200 ton per jaar</w:t>
            </w:r>
          </w:p>
        </w:tc>
        <w:tc>
          <w:tcPr>
            <w:tcW w:w="567" w:type="dxa"/>
            <w:tcBorders>
              <w:top w:val="nil"/>
              <w:left w:val="nil"/>
              <w:bottom w:val="single" w:sz="4" w:space="0" w:color="auto"/>
              <w:right w:val="nil"/>
            </w:tcBorders>
            <w:shd w:val="clear" w:color="000000" w:fill="99FF99"/>
            <w:vAlign w:val="center"/>
            <w:hideMark/>
          </w:tcPr>
          <w:p w14:paraId="61A2D4EA"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vMerge/>
            <w:tcBorders>
              <w:top w:val="nil"/>
              <w:left w:val="single" w:sz="4" w:space="0" w:color="auto"/>
              <w:bottom w:val="single" w:sz="4" w:space="0" w:color="000000"/>
              <w:right w:val="single" w:sz="4" w:space="0" w:color="auto"/>
            </w:tcBorders>
            <w:vAlign w:val="center"/>
            <w:hideMark/>
          </w:tcPr>
          <w:p w14:paraId="3ECF0939" w14:textId="77777777" w:rsidR="009E2D9F" w:rsidRPr="009E2D9F" w:rsidRDefault="009E2D9F" w:rsidP="009E2D9F">
            <w:pPr>
              <w:spacing w:after="0" w:line="240" w:lineRule="auto"/>
              <w:rPr>
                <w:rFonts w:ascii="Arial" w:eastAsia="Times New Roman" w:hAnsi="Arial" w:cs="Arial"/>
                <w:sz w:val="16"/>
                <w:szCs w:val="16"/>
                <w:lang w:eastAsia="fr-BE"/>
              </w:rPr>
            </w:pPr>
          </w:p>
        </w:tc>
        <w:tc>
          <w:tcPr>
            <w:tcW w:w="2835" w:type="dxa"/>
            <w:vMerge/>
            <w:tcBorders>
              <w:top w:val="nil"/>
              <w:left w:val="single" w:sz="4" w:space="0" w:color="auto"/>
              <w:bottom w:val="single" w:sz="4" w:space="0" w:color="000000"/>
              <w:right w:val="single" w:sz="8" w:space="0" w:color="auto"/>
            </w:tcBorders>
            <w:vAlign w:val="center"/>
            <w:hideMark/>
          </w:tcPr>
          <w:p w14:paraId="27A19EFC" w14:textId="77777777" w:rsidR="009E2D9F" w:rsidRPr="009E2D9F" w:rsidRDefault="009E2D9F" w:rsidP="009E2D9F">
            <w:pPr>
              <w:spacing w:after="0" w:line="240" w:lineRule="auto"/>
              <w:rPr>
                <w:rFonts w:ascii="Arial" w:eastAsia="Times New Roman" w:hAnsi="Arial" w:cs="Arial"/>
                <w:sz w:val="16"/>
                <w:szCs w:val="16"/>
                <w:lang w:eastAsia="fr-BE"/>
              </w:rPr>
            </w:pPr>
          </w:p>
        </w:tc>
      </w:tr>
      <w:tr w:rsidR="009E2D9F" w:rsidRPr="003D427D" w14:paraId="65F9EF34" w14:textId="77777777" w:rsidTr="00F63922">
        <w:trPr>
          <w:trHeight w:val="1212"/>
          <w:jc w:val="center"/>
        </w:trPr>
        <w:tc>
          <w:tcPr>
            <w:tcW w:w="0" w:type="auto"/>
            <w:tcBorders>
              <w:top w:val="nil"/>
              <w:left w:val="single" w:sz="8" w:space="0" w:color="auto"/>
              <w:bottom w:val="single" w:sz="4" w:space="0" w:color="auto"/>
              <w:right w:val="single" w:sz="4" w:space="0" w:color="auto"/>
            </w:tcBorders>
            <w:shd w:val="clear" w:color="000000" w:fill="92D050"/>
            <w:noWrap/>
            <w:vAlign w:val="center"/>
            <w:hideMark/>
          </w:tcPr>
          <w:p w14:paraId="4C9AB536" w14:textId="77777777" w:rsidR="009E2D9F" w:rsidRPr="009E2D9F" w:rsidRDefault="009E2D9F" w:rsidP="009E2D9F">
            <w:pPr>
              <w:spacing w:after="0" w:line="240" w:lineRule="auto"/>
              <w:jc w:val="center"/>
              <w:rPr>
                <w:rFonts w:ascii="Arial" w:eastAsia="Times New Roman" w:hAnsi="Arial" w:cs="Arial"/>
                <w:b/>
                <w:bCs/>
                <w:color w:val="000000"/>
                <w:sz w:val="16"/>
                <w:szCs w:val="16"/>
                <w:lang w:eastAsia="fr-BE"/>
              </w:rPr>
            </w:pPr>
            <w:r w:rsidRPr="009E2D9F">
              <w:rPr>
                <w:rFonts w:ascii="Arial" w:eastAsia="Times New Roman" w:hAnsi="Arial" w:cs="Arial"/>
                <w:b/>
                <w:bCs/>
                <w:color w:val="000000"/>
                <w:sz w:val="16"/>
                <w:szCs w:val="16"/>
                <w:lang w:eastAsia="fr-BE"/>
              </w:rPr>
              <w:t>99</w:t>
            </w:r>
          </w:p>
        </w:tc>
        <w:tc>
          <w:tcPr>
            <w:tcW w:w="3756" w:type="dxa"/>
            <w:tcBorders>
              <w:top w:val="nil"/>
              <w:left w:val="nil"/>
              <w:bottom w:val="single" w:sz="4" w:space="0" w:color="auto"/>
              <w:right w:val="nil"/>
            </w:tcBorders>
            <w:shd w:val="clear" w:color="000000" w:fill="99FF99"/>
            <w:vAlign w:val="center"/>
            <w:hideMark/>
          </w:tcPr>
          <w:p w14:paraId="77706EF7"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de dégraissage de métaux et de matières plastiques par aspersion</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F5DE1CF"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Inrichtingen voor het ontvetten van metalen en </w:t>
            </w:r>
            <w:proofErr w:type="spellStart"/>
            <w:r w:rsidRPr="009E2D9F">
              <w:rPr>
                <w:rFonts w:ascii="Arial" w:eastAsia="Times New Roman" w:hAnsi="Arial" w:cs="Arial"/>
                <w:sz w:val="16"/>
                <w:szCs w:val="16"/>
                <w:lang w:val="nl-BE" w:eastAsia="fr-BE"/>
              </w:rPr>
              <w:t>kunstoffen</w:t>
            </w:r>
            <w:proofErr w:type="spellEnd"/>
            <w:r w:rsidRPr="009E2D9F">
              <w:rPr>
                <w:rFonts w:ascii="Arial" w:eastAsia="Times New Roman" w:hAnsi="Arial" w:cs="Arial"/>
                <w:sz w:val="16"/>
                <w:szCs w:val="16"/>
                <w:lang w:val="nl-BE" w:eastAsia="fr-BE"/>
              </w:rPr>
              <w:t xml:space="preserve"> door besproeiing</w:t>
            </w:r>
          </w:p>
        </w:tc>
        <w:tc>
          <w:tcPr>
            <w:tcW w:w="567" w:type="dxa"/>
            <w:tcBorders>
              <w:top w:val="nil"/>
              <w:left w:val="nil"/>
              <w:bottom w:val="single" w:sz="4" w:space="0" w:color="auto"/>
              <w:right w:val="nil"/>
            </w:tcBorders>
            <w:shd w:val="clear" w:color="000000" w:fill="99FF99"/>
            <w:vAlign w:val="center"/>
            <w:hideMark/>
          </w:tcPr>
          <w:p w14:paraId="3FAC8137"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57E5EB9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à risque les installations ou sont utilisés des solvants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2A8C5DDF"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uitsluitend als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beschouwd de inrichtingen die </w:t>
            </w:r>
            <w:proofErr w:type="spellStart"/>
            <w:r w:rsidRPr="009E2D9F">
              <w:rPr>
                <w:rFonts w:ascii="Arial" w:eastAsia="Times New Roman" w:hAnsi="Arial" w:cs="Arial"/>
                <w:sz w:val="16"/>
                <w:szCs w:val="16"/>
                <w:lang w:val="nl-BE" w:eastAsia="fr-BE"/>
              </w:rPr>
              <w:t>gebuik</w:t>
            </w:r>
            <w:proofErr w:type="spellEnd"/>
            <w:r w:rsidRPr="009E2D9F">
              <w:rPr>
                <w:rFonts w:ascii="Arial" w:eastAsia="Times New Roman" w:hAnsi="Arial" w:cs="Arial"/>
                <w:sz w:val="16"/>
                <w:szCs w:val="16"/>
                <w:lang w:val="nl-BE" w:eastAsia="fr-BE"/>
              </w:rPr>
              <w:t xml:space="preserve"> maken van </w:t>
            </w:r>
            <w:proofErr w:type="spellStart"/>
            <w:r w:rsidRPr="009E2D9F">
              <w:rPr>
                <w:rFonts w:ascii="Arial" w:eastAsia="Times New Roman" w:hAnsi="Arial" w:cs="Arial"/>
                <w:sz w:val="16"/>
                <w:szCs w:val="16"/>
                <w:lang w:val="nl-BE" w:eastAsia="fr-BE"/>
              </w:rPr>
              <w:t>solventen</w:t>
            </w:r>
            <w:proofErr w:type="spellEnd"/>
            <w:r w:rsidRPr="009E2D9F">
              <w:rPr>
                <w:rFonts w:ascii="Arial" w:eastAsia="Times New Roman" w:hAnsi="Arial" w:cs="Arial"/>
                <w:sz w:val="16"/>
                <w:szCs w:val="16"/>
                <w:lang w:val="nl-BE" w:eastAsia="fr-BE"/>
              </w:rPr>
              <w:t xml:space="preserve"> die volgens de CLP-verordening geklasseerd zijn als producten die een risico of een gevaar voor de gezondheid inhouden, anders dan corrosief en irriterend, of voor het leefmilieu, anders dan voor de ozonlaag*.</w:t>
            </w:r>
          </w:p>
        </w:tc>
      </w:tr>
      <w:tr w:rsidR="009E2D9F" w:rsidRPr="003D427D" w14:paraId="3989FDDD" w14:textId="77777777" w:rsidTr="00D63286">
        <w:trPr>
          <w:trHeight w:val="2161"/>
          <w:jc w:val="center"/>
        </w:trPr>
        <w:tc>
          <w:tcPr>
            <w:tcW w:w="0" w:type="auto"/>
            <w:tcBorders>
              <w:top w:val="nil"/>
              <w:left w:val="single" w:sz="8" w:space="0" w:color="auto"/>
              <w:bottom w:val="single" w:sz="4" w:space="0" w:color="auto"/>
              <w:right w:val="single" w:sz="4" w:space="0" w:color="auto"/>
            </w:tcBorders>
            <w:shd w:val="clear" w:color="000000" w:fill="92D050"/>
            <w:noWrap/>
            <w:vAlign w:val="center"/>
            <w:hideMark/>
          </w:tcPr>
          <w:p w14:paraId="405A8AC3" w14:textId="4C0C6CC0" w:rsidR="009E2D9F" w:rsidRPr="009E2D9F" w:rsidRDefault="009E2D9F" w:rsidP="009E2D9F">
            <w:pPr>
              <w:spacing w:after="0" w:line="240" w:lineRule="auto"/>
              <w:jc w:val="center"/>
              <w:rPr>
                <w:rFonts w:ascii="Arial" w:eastAsia="Times New Roman" w:hAnsi="Arial" w:cs="Arial"/>
                <w:b/>
                <w:bCs/>
                <w:color w:val="000000"/>
                <w:sz w:val="16"/>
                <w:szCs w:val="16"/>
                <w:lang w:eastAsia="fr-BE"/>
              </w:rPr>
            </w:pPr>
            <w:r w:rsidRPr="009E2D9F">
              <w:rPr>
                <w:rFonts w:ascii="Arial" w:eastAsia="Times New Roman" w:hAnsi="Arial" w:cs="Arial"/>
                <w:b/>
                <w:bCs/>
                <w:color w:val="000000"/>
                <w:sz w:val="16"/>
                <w:szCs w:val="16"/>
                <w:lang w:eastAsia="fr-BE"/>
              </w:rPr>
              <w:t>101 B</w:t>
            </w:r>
          </w:p>
        </w:tc>
        <w:tc>
          <w:tcPr>
            <w:tcW w:w="3756" w:type="dxa"/>
            <w:tcBorders>
              <w:top w:val="nil"/>
              <w:left w:val="nil"/>
              <w:bottom w:val="single" w:sz="4" w:space="0" w:color="auto"/>
              <w:right w:val="nil"/>
            </w:tcBorders>
            <w:shd w:val="clear" w:color="000000" w:fill="99FF99"/>
            <w:vAlign w:val="center"/>
            <w:hideMark/>
          </w:tcPr>
          <w:p w14:paraId="0CA3ADEE"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Ateliers pour le travail des métaux n'entraînant pas de changement dans leur nature et sans traitement thermique (serrureries, polissage, fabrication d'objets métalliques, sablage ou </w:t>
            </w:r>
            <w:proofErr w:type="spellStart"/>
            <w:r w:rsidRPr="009E2D9F">
              <w:rPr>
                <w:rFonts w:ascii="Arial" w:eastAsia="Times New Roman" w:hAnsi="Arial" w:cs="Arial"/>
                <w:sz w:val="16"/>
                <w:szCs w:val="16"/>
                <w:lang w:eastAsia="fr-BE"/>
              </w:rPr>
              <w:t>désablage</w:t>
            </w:r>
            <w:proofErr w:type="spellEnd"/>
            <w:r w:rsidRPr="009E2D9F">
              <w:rPr>
                <w:rFonts w:ascii="Arial" w:eastAsia="Times New Roman" w:hAnsi="Arial" w:cs="Arial"/>
                <w:sz w:val="16"/>
                <w:szCs w:val="16"/>
                <w:lang w:eastAsia="fr-BE"/>
              </w:rPr>
              <w:t>,...) et dont la force motrice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b) est supérieure à 20 kW</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7E543DD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Werkplaatsen voor metaalbewerking waarbij de aard van de metalen niet wordt gewijzigd en zonder warmtebehandeling (slotenmakers, polijsten, vervaardiging van metalen voorwerpen, zandstralen of </w:t>
            </w:r>
            <w:proofErr w:type="spellStart"/>
            <w:r w:rsidRPr="009E2D9F">
              <w:rPr>
                <w:rFonts w:ascii="Arial" w:eastAsia="Times New Roman" w:hAnsi="Arial" w:cs="Arial"/>
                <w:sz w:val="16"/>
                <w:szCs w:val="16"/>
                <w:lang w:val="nl-BE" w:eastAsia="fr-BE"/>
              </w:rPr>
              <w:t>ontzanden</w:t>
            </w:r>
            <w:proofErr w:type="spellEnd"/>
            <w:r w:rsidRPr="009E2D9F">
              <w:rPr>
                <w:rFonts w:ascii="Arial" w:eastAsia="Times New Roman" w:hAnsi="Arial" w:cs="Arial"/>
                <w:sz w:val="16"/>
                <w:szCs w:val="16"/>
                <w:lang w:val="nl-BE" w:eastAsia="fr-BE"/>
              </w:rPr>
              <w:t>,...), met een drijfkracht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b) groter dan 20 </w:t>
            </w:r>
            <w:proofErr w:type="spellStart"/>
            <w:r w:rsidRPr="009E2D9F">
              <w:rPr>
                <w:rFonts w:ascii="Arial" w:eastAsia="Times New Roman" w:hAnsi="Arial" w:cs="Arial"/>
                <w:sz w:val="16"/>
                <w:szCs w:val="16"/>
                <w:lang w:val="nl-BE" w:eastAsia="fr-BE"/>
              </w:rPr>
              <w:t>Kw</w:t>
            </w:r>
            <w:proofErr w:type="spellEnd"/>
          </w:p>
        </w:tc>
        <w:tc>
          <w:tcPr>
            <w:tcW w:w="567" w:type="dxa"/>
            <w:tcBorders>
              <w:top w:val="single" w:sz="4" w:space="0" w:color="auto"/>
              <w:left w:val="nil"/>
              <w:bottom w:val="single" w:sz="4" w:space="0" w:color="auto"/>
              <w:right w:val="single" w:sz="4" w:space="0" w:color="auto"/>
            </w:tcBorders>
            <w:shd w:val="clear" w:color="000000" w:fill="99FF99"/>
            <w:vAlign w:val="center"/>
            <w:hideMark/>
          </w:tcPr>
          <w:p w14:paraId="00D4DAF7"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00E0ED68"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à risque les installations où sont utilisés des huiles de coupe classées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500060AF"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uitsluitend als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beschouwd de inrichtingen waar gebruikt wordt gemaakt van snijoliën die volgens de CLP-verordening geklasseerd zijn als producten die een risico of een gevaar voor de gezondheid inhouden, anders dan corrosief en irriterend, of voor het leefmilieu, anders dan voor de ozonlaag*.</w:t>
            </w:r>
          </w:p>
        </w:tc>
      </w:tr>
      <w:tr w:rsidR="009E2D9F" w:rsidRPr="003D427D" w14:paraId="2162F9F5" w14:textId="77777777" w:rsidTr="00D63286">
        <w:trPr>
          <w:trHeight w:val="811"/>
          <w:jc w:val="center"/>
        </w:trPr>
        <w:tc>
          <w:tcPr>
            <w:tcW w:w="0" w:type="auto"/>
            <w:tcBorders>
              <w:top w:val="nil"/>
              <w:left w:val="single" w:sz="8" w:space="0" w:color="auto"/>
              <w:bottom w:val="single" w:sz="4" w:space="0" w:color="auto"/>
              <w:right w:val="single" w:sz="4" w:space="0" w:color="auto"/>
            </w:tcBorders>
            <w:shd w:val="clear" w:color="000000" w:fill="92D050"/>
            <w:noWrap/>
            <w:vAlign w:val="center"/>
            <w:hideMark/>
          </w:tcPr>
          <w:p w14:paraId="7DDCE22B" w14:textId="77777777" w:rsidR="009E2D9F" w:rsidRPr="009E2D9F" w:rsidRDefault="009E2D9F" w:rsidP="009E2D9F">
            <w:pPr>
              <w:spacing w:after="0" w:line="240" w:lineRule="auto"/>
              <w:jc w:val="center"/>
              <w:rPr>
                <w:rFonts w:ascii="Arial" w:eastAsia="Times New Roman" w:hAnsi="Arial" w:cs="Arial"/>
                <w:b/>
                <w:bCs/>
                <w:color w:val="000000"/>
                <w:sz w:val="16"/>
                <w:szCs w:val="16"/>
                <w:lang w:eastAsia="fr-BE"/>
              </w:rPr>
            </w:pPr>
            <w:r w:rsidRPr="009E2D9F">
              <w:rPr>
                <w:rFonts w:ascii="Arial" w:eastAsia="Times New Roman" w:hAnsi="Arial" w:cs="Arial"/>
                <w:b/>
                <w:bCs/>
                <w:color w:val="000000"/>
                <w:sz w:val="16"/>
                <w:szCs w:val="16"/>
                <w:lang w:eastAsia="fr-BE"/>
              </w:rPr>
              <w:t>102</w:t>
            </w:r>
          </w:p>
        </w:tc>
        <w:tc>
          <w:tcPr>
            <w:tcW w:w="3756" w:type="dxa"/>
            <w:tcBorders>
              <w:top w:val="nil"/>
              <w:left w:val="nil"/>
              <w:bottom w:val="single" w:sz="4" w:space="0" w:color="auto"/>
              <w:right w:val="single" w:sz="4" w:space="0" w:color="auto"/>
            </w:tcBorders>
            <w:shd w:val="clear" w:color="000000" w:fill="99FF99"/>
            <w:vAlign w:val="center"/>
            <w:hideMark/>
          </w:tcPr>
          <w:p w14:paraId="592FB978"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de fusion de métaux, à l'exclusion des ateliers comptant moins de 3 postes de travail et attenant aux bijouteries.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16EB0411"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Inrichtingen voor het smelten van metalen, met uitzondering van werkplaatsen met minder dan 3 werkposten en horend bij juwelenzaken.</w:t>
            </w:r>
          </w:p>
        </w:tc>
        <w:tc>
          <w:tcPr>
            <w:tcW w:w="567" w:type="dxa"/>
            <w:tcBorders>
              <w:top w:val="nil"/>
              <w:left w:val="nil"/>
              <w:bottom w:val="single" w:sz="4" w:space="0" w:color="auto"/>
              <w:right w:val="single" w:sz="4" w:space="0" w:color="auto"/>
            </w:tcBorders>
            <w:shd w:val="clear" w:color="000000" w:fill="99FF99"/>
            <w:vAlign w:val="center"/>
            <w:hideMark/>
          </w:tcPr>
          <w:p w14:paraId="5107C0FD"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31838852"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Ne sont pas considérés comme des activités à risque: les ateliers attenant aux bijouteries</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1E118689"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niet beschouwd als risicoactiviteiten: werkplaatsen horend bij juwelenzaken</w:t>
            </w:r>
          </w:p>
        </w:tc>
      </w:tr>
      <w:tr w:rsidR="009E2D9F" w:rsidRPr="009E2D9F" w14:paraId="52DFE0F7" w14:textId="77777777" w:rsidTr="00F63922">
        <w:trPr>
          <w:trHeight w:val="1824"/>
          <w:jc w:val="center"/>
        </w:trPr>
        <w:tc>
          <w:tcPr>
            <w:tcW w:w="0" w:type="auto"/>
            <w:tcBorders>
              <w:top w:val="nil"/>
              <w:left w:val="single" w:sz="8" w:space="0" w:color="auto"/>
              <w:bottom w:val="single" w:sz="4" w:space="0" w:color="auto"/>
              <w:right w:val="single" w:sz="4" w:space="0" w:color="auto"/>
            </w:tcBorders>
            <w:shd w:val="clear" w:color="000000" w:fill="92D050"/>
            <w:noWrap/>
            <w:vAlign w:val="center"/>
            <w:hideMark/>
          </w:tcPr>
          <w:p w14:paraId="6D1BEAB7"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103</w:t>
            </w:r>
          </w:p>
        </w:tc>
        <w:tc>
          <w:tcPr>
            <w:tcW w:w="3756" w:type="dxa"/>
            <w:tcBorders>
              <w:top w:val="nil"/>
              <w:left w:val="nil"/>
              <w:bottom w:val="single" w:sz="4" w:space="0" w:color="auto"/>
              <w:right w:val="nil"/>
            </w:tcBorders>
            <w:shd w:val="clear" w:color="000000" w:fill="99FF99"/>
            <w:vAlign w:val="center"/>
            <w:hideMark/>
          </w:tcPr>
          <w:p w14:paraId="55BBDF0C"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Installations destinées à la production de métaux bruts non ferreux à partir de minerais ou de concentrés de minerais ou autre matériau (à l’exception de déchets) selon des procédés métallurgiques, électrolytiques ou chimique et dont la capacité est inférieure ou égale à 100.000 t/an de métaux bruts non ferreux;</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Installations de calcination et de frittage de minerais métalliques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368AF6B"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Inrichtingen voor de winning van ruwe non-ferrometalen uit erts of ertsconcentraat of een ander</w:t>
            </w:r>
            <w:r w:rsidRPr="009E2D9F">
              <w:rPr>
                <w:rFonts w:ascii="Arial" w:eastAsia="Times New Roman" w:hAnsi="Arial" w:cs="Arial"/>
                <w:sz w:val="16"/>
                <w:szCs w:val="16"/>
                <w:lang w:val="nl-BE" w:eastAsia="fr-BE"/>
              </w:rPr>
              <w:br/>
              <w:t>materiaal (met uitzondering van afvalstoffen) met metallurgische, elektrolytische of chemische  processen met een capaciteit van minder dan of gelijk aan 100.000 t/jaar ruwe non-ferrometalen;</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 Inrichtingen voor het roosten en sinteren van ertsen </w:t>
            </w:r>
          </w:p>
        </w:tc>
        <w:tc>
          <w:tcPr>
            <w:tcW w:w="567" w:type="dxa"/>
            <w:tcBorders>
              <w:top w:val="single" w:sz="4" w:space="0" w:color="auto"/>
              <w:left w:val="nil"/>
              <w:bottom w:val="single" w:sz="4" w:space="0" w:color="auto"/>
              <w:right w:val="nil"/>
            </w:tcBorders>
            <w:shd w:val="clear" w:color="000000" w:fill="99FF99"/>
            <w:noWrap/>
            <w:vAlign w:val="center"/>
            <w:hideMark/>
          </w:tcPr>
          <w:p w14:paraId="021E7078"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64CD61D7"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362F626E"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2107135D" w14:textId="77777777" w:rsidTr="00D63286">
        <w:trPr>
          <w:trHeight w:val="1134"/>
          <w:jc w:val="center"/>
        </w:trPr>
        <w:tc>
          <w:tcPr>
            <w:tcW w:w="0" w:type="auto"/>
            <w:tcBorders>
              <w:top w:val="nil"/>
              <w:left w:val="single" w:sz="8" w:space="0" w:color="auto"/>
              <w:bottom w:val="single" w:sz="4" w:space="0" w:color="auto"/>
              <w:right w:val="single" w:sz="4" w:space="0" w:color="auto"/>
            </w:tcBorders>
            <w:shd w:val="clear" w:color="000000" w:fill="92D050"/>
            <w:noWrap/>
            <w:vAlign w:val="center"/>
            <w:hideMark/>
          </w:tcPr>
          <w:p w14:paraId="71C636C0" w14:textId="1AD7D2DC" w:rsidR="009E2D9F" w:rsidRPr="009E2D9F" w:rsidRDefault="009E2D9F" w:rsidP="009E2D9F">
            <w:pPr>
              <w:spacing w:after="0" w:line="240" w:lineRule="auto"/>
              <w:jc w:val="center"/>
              <w:rPr>
                <w:rFonts w:ascii="Arial" w:eastAsia="Times New Roman" w:hAnsi="Arial" w:cs="Arial"/>
                <w:b/>
                <w:bCs/>
                <w:color w:val="000000"/>
                <w:sz w:val="16"/>
                <w:szCs w:val="16"/>
                <w:lang w:eastAsia="fr-BE"/>
              </w:rPr>
            </w:pPr>
            <w:r w:rsidRPr="009E2D9F">
              <w:rPr>
                <w:rFonts w:ascii="Arial" w:eastAsia="Times New Roman" w:hAnsi="Arial" w:cs="Arial"/>
                <w:b/>
                <w:bCs/>
                <w:color w:val="000000"/>
                <w:sz w:val="16"/>
                <w:szCs w:val="16"/>
                <w:lang w:eastAsia="fr-BE"/>
              </w:rPr>
              <w:lastRenderedPageBreak/>
              <w:t>105 A</w:t>
            </w:r>
          </w:p>
        </w:tc>
        <w:tc>
          <w:tcPr>
            <w:tcW w:w="3756" w:type="dxa"/>
            <w:tcBorders>
              <w:top w:val="nil"/>
              <w:left w:val="nil"/>
              <w:bottom w:val="single" w:sz="4" w:space="0" w:color="auto"/>
              <w:right w:val="single" w:sz="4" w:space="0" w:color="auto"/>
            </w:tcBorders>
            <w:shd w:val="clear" w:color="000000" w:fill="99FF99"/>
            <w:vAlign w:val="center"/>
            <w:hideMark/>
          </w:tcPr>
          <w:p w14:paraId="1CD60A89"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Atelier de dégraissage des textiles (nettoyage à sec) à l'aide de solvants organiques non inflammables : ne comportant qu'une machine</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A5EDCDF"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Werkplaatsen voor textielontvetting (chemisch reinigen) met behulp van niet-ontvlambare organische </w:t>
            </w:r>
            <w:proofErr w:type="spellStart"/>
            <w:r w:rsidRPr="009E2D9F">
              <w:rPr>
                <w:rFonts w:ascii="Arial" w:eastAsia="Times New Roman" w:hAnsi="Arial" w:cs="Arial"/>
                <w:sz w:val="16"/>
                <w:szCs w:val="16"/>
                <w:lang w:val="nl-BE" w:eastAsia="fr-BE"/>
              </w:rPr>
              <w:t>solventen</w:t>
            </w:r>
            <w:proofErr w:type="spellEnd"/>
            <w:r w:rsidRPr="009E2D9F">
              <w:rPr>
                <w:rFonts w:ascii="Arial" w:eastAsia="Times New Roman" w:hAnsi="Arial" w:cs="Arial"/>
                <w:sz w:val="16"/>
                <w:szCs w:val="16"/>
                <w:lang w:val="nl-BE" w:eastAsia="fr-BE"/>
              </w:rPr>
              <w:t>, waarbij slechts één machine wordt gebruikt</w:t>
            </w:r>
          </w:p>
        </w:tc>
        <w:tc>
          <w:tcPr>
            <w:tcW w:w="567" w:type="dxa"/>
            <w:tcBorders>
              <w:top w:val="single" w:sz="4" w:space="0" w:color="auto"/>
              <w:left w:val="nil"/>
              <w:bottom w:val="single" w:sz="4" w:space="0" w:color="auto"/>
              <w:right w:val="single" w:sz="4" w:space="0" w:color="auto"/>
            </w:tcBorders>
            <w:shd w:val="clear" w:color="000000" w:fill="99FF99"/>
            <w:vAlign w:val="center"/>
            <w:hideMark/>
          </w:tcPr>
          <w:p w14:paraId="044C2C36"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1C</w:t>
            </w:r>
          </w:p>
        </w:tc>
        <w:tc>
          <w:tcPr>
            <w:tcW w:w="2835" w:type="dxa"/>
            <w:vMerge w:val="restart"/>
            <w:tcBorders>
              <w:top w:val="nil"/>
              <w:left w:val="single" w:sz="4" w:space="0" w:color="auto"/>
              <w:bottom w:val="single" w:sz="4" w:space="0" w:color="000000"/>
              <w:right w:val="single" w:sz="4" w:space="0" w:color="auto"/>
            </w:tcBorders>
            <w:shd w:val="clear" w:color="000000" w:fill="CCFFCC"/>
            <w:vAlign w:val="center"/>
            <w:hideMark/>
          </w:tcPr>
          <w:p w14:paraId="7948B4E2"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à risque les installations ou sont utilisés des solvants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vMerge w:val="restart"/>
            <w:tcBorders>
              <w:top w:val="nil"/>
              <w:left w:val="single" w:sz="4" w:space="0" w:color="auto"/>
              <w:bottom w:val="single" w:sz="4" w:space="0" w:color="000000"/>
              <w:right w:val="single" w:sz="8" w:space="0" w:color="auto"/>
            </w:tcBorders>
            <w:shd w:val="clear" w:color="000000" w:fill="CCFFCC"/>
            <w:vAlign w:val="center"/>
            <w:hideMark/>
          </w:tcPr>
          <w:p w14:paraId="755034D0" w14:textId="77777777" w:rsidR="009E2D9F" w:rsidRPr="009E2D9F" w:rsidRDefault="009E2D9F" w:rsidP="009E2D9F">
            <w:pPr>
              <w:spacing w:after="0" w:line="240" w:lineRule="auto"/>
              <w:jc w:val="center"/>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uitsluitend als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beschouwd de inrichtingen die </w:t>
            </w:r>
            <w:proofErr w:type="spellStart"/>
            <w:r w:rsidRPr="009E2D9F">
              <w:rPr>
                <w:rFonts w:ascii="Arial" w:eastAsia="Times New Roman" w:hAnsi="Arial" w:cs="Arial"/>
                <w:sz w:val="16"/>
                <w:szCs w:val="16"/>
                <w:lang w:val="nl-BE" w:eastAsia="fr-BE"/>
              </w:rPr>
              <w:t>gebuik</w:t>
            </w:r>
            <w:proofErr w:type="spellEnd"/>
            <w:r w:rsidRPr="009E2D9F">
              <w:rPr>
                <w:rFonts w:ascii="Arial" w:eastAsia="Times New Roman" w:hAnsi="Arial" w:cs="Arial"/>
                <w:sz w:val="16"/>
                <w:szCs w:val="16"/>
                <w:lang w:val="nl-BE" w:eastAsia="fr-BE"/>
              </w:rPr>
              <w:t xml:space="preserve"> maken van </w:t>
            </w:r>
            <w:proofErr w:type="spellStart"/>
            <w:r w:rsidRPr="009E2D9F">
              <w:rPr>
                <w:rFonts w:ascii="Arial" w:eastAsia="Times New Roman" w:hAnsi="Arial" w:cs="Arial"/>
                <w:sz w:val="16"/>
                <w:szCs w:val="16"/>
                <w:lang w:val="nl-BE" w:eastAsia="fr-BE"/>
              </w:rPr>
              <w:t>solventen</w:t>
            </w:r>
            <w:proofErr w:type="spellEnd"/>
            <w:r w:rsidRPr="009E2D9F">
              <w:rPr>
                <w:rFonts w:ascii="Arial" w:eastAsia="Times New Roman" w:hAnsi="Arial" w:cs="Arial"/>
                <w:sz w:val="16"/>
                <w:szCs w:val="16"/>
                <w:lang w:val="nl-BE" w:eastAsia="fr-BE"/>
              </w:rPr>
              <w:t xml:space="preserve"> die volgens de CLP-verordening geklasseerd zijn als producten die een risico of een gevaar voor de gezondheid inhouden, anders dan corrosief en irriterend, of voor het leefmilieu, anders dan voor de ozonlaag*.</w:t>
            </w:r>
          </w:p>
        </w:tc>
      </w:tr>
      <w:tr w:rsidR="009E2D9F" w:rsidRPr="009E2D9F" w14:paraId="3C67D1E9" w14:textId="77777777" w:rsidTr="00D63286">
        <w:trPr>
          <w:trHeight w:val="1549"/>
          <w:jc w:val="center"/>
        </w:trPr>
        <w:tc>
          <w:tcPr>
            <w:tcW w:w="0" w:type="auto"/>
            <w:tcBorders>
              <w:top w:val="nil"/>
              <w:left w:val="single" w:sz="8" w:space="0" w:color="auto"/>
              <w:bottom w:val="single" w:sz="4" w:space="0" w:color="auto"/>
              <w:right w:val="single" w:sz="4" w:space="0" w:color="auto"/>
            </w:tcBorders>
            <w:shd w:val="clear" w:color="000000" w:fill="92D050"/>
            <w:noWrap/>
            <w:vAlign w:val="center"/>
            <w:hideMark/>
          </w:tcPr>
          <w:p w14:paraId="277E9DBE" w14:textId="5BC68261" w:rsidR="009E2D9F" w:rsidRPr="009E2D9F" w:rsidRDefault="009E2D9F" w:rsidP="009E2D9F">
            <w:pPr>
              <w:spacing w:after="0" w:line="240" w:lineRule="auto"/>
              <w:jc w:val="center"/>
              <w:rPr>
                <w:rFonts w:ascii="Arial" w:eastAsia="Times New Roman" w:hAnsi="Arial" w:cs="Arial"/>
                <w:b/>
                <w:bCs/>
                <w:color w:val="000000"/>
                <w:sz w:val="16"/>
                <w:szCs w:val="16"/>
                <w:lang w:eastAsia="fr-BE"/>
              </w:rPr>
            </w:pPr>
            <w:r w:rsidRPr="009E2D9F">
              <w:rPr>
                <w:rFonts w:ascii="Arial" w:eastAsia="Times New Roman" w:hAnsi="Arial" w:cs="Arial"/>
                <w:b/>
                <w:bCs/>
                <w:color w:val="000000"/>
                <w:sz w:val="16"/>
                <w:szCs w:val="16"/>
                <w:lang w:eastAsia="fr-BE"/>
              </w:rPr>
              <w:t>105 B</w:t>
            </w:r>
          </w:p>
        </w:tc>
        <w:tc>
          <w:tcPr>
            <w:tcW w:w="3756" w:type="dxa"/>
            <w:tcBorders>
              <w:top w:val="nil"/>
              <w:left w:val="nil"/>
              <w:bottom w:val="single" w:sz="4" w:space="0" w:color="auto"/>
              <w:right w:val="nil"/>
            </w:tcBorders>
            <w:shd w:val="clear" w:color="000000" w:fill="99FF99"/>
            <w:vAlign w:val="center"/>
            <w:hideMark/>
          </w:tcPr>
          <w:p w14:paraId="3AC31E0D"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Atelier de dégraissage des textiles (nettoyage à sec) à l'aide de solvants organiques inflammables. </w:t>
            </w:r>
            <w:r w:rsidRPr="009E2D9F">
              <w:rPr>
                <w:rFonts w:ascii="Arial" w:eastAsia="Times New Roman" w:hAnsi="Arial" w:cs="Arial"/>
                <w:sz w:val="16"/>
                <w:szCs w:val="16"/>
                <w:lang w:eastAsia="fr-BE"/>
              </w:rPr>
              <w:br/>
              <w:t>Atelier de dégraissage des textiles (nettoyage à sec) à l'aide de solvants organiques : comportant plus d'une machine</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6A64BBA0"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Werkplaatsen voor textielontvetting (chemisch reinigen) met behulp van ontvlambare organische </w:t>
            </w:r>
            <w:proofErr w:type="spellStart"/>
            <w:r w:rsidRPr="009E2D9F">
              <w:rPr>
                <w:rFonts w:ascii="Arial" w:eastAsia="Times New Roman" w:hAnsi="Arial" w:cs="Arial"/>
                <w:sz w:val="16"/>
                <w:szCs w:val="16"/>
                <w:lang w:val="nl-BE" w:eastAsia="fr-BE"/>
              </w:rPr>
              <w:t>solventen</w:t>
            </w:r>
            <w:proofErr w:type="spellEnd"/>
            <w:r w:rsidRPr="009E2D9F">
              <w:rPr>
                <w:rFonts w:ascii="Arial" w:eastAsia="Times New Roman" w:hAnsi="Arial" w:cs="Arial"/>
                <w:sz w:val="16"/>
                <w:szCs w:val="16"/>
                <w:lang w:val="nl-BE" w:eastAsia="fr-BE"/>
              </w:rPr>
              <w:t xml:space="preserve">. </w:t>
            </w:r>
            <w:r w:rsidRPr="009E2D9F">
              <w:rPr>
                <w:rFonts w:ascii="Arial" w:eastAsia="Times New Roman" w:hAnsi="Arial" w:cs="Arial"/>
                <w:sz w:val="16"/>
                <w:szCs w:val="16"/>
                <w:lang w:val="nl-BE" w:eastAsia="fr-BE"/>
              </w:rPr>
              <w:br/>
              <w:t xml:space="preserve">Werkplaatsen voor textielontvetting (chemisch reinigen) met behulp van organische </w:t>
            </w:r>
            <w:proofErr w:type="spellStart"/>
            <w:r w:rsidRPr="009E2D9F">
              <w:rPr>
                <w:rFonts w:ascii="Arial" w:eastAsia="Times New Roman" w:hAnsi="Arial" w:cs="Arial"/>
                <w:sz w:val="16"/>
                <w:szCs w:val="16"/>
                <w:lang w:val="nl-BE" w:eastAsia="fr-BE"/>
              </w:rPr>
              <w:t>solventen</w:t>
            </w:r>
            <w:proofErr w:type="spellEnd"/>
            <w:r w:rsidRPr="009E2D9F">
              <w:rPr>
                <w:rFonts w:ascii="Arial" w:eastAsia="Times New Roman" w:hAnsi="Arial" w:cs="Arial"/>
                <w:sz w:val="16"/>
                <w:szCs w:val="16"/>
                <w:lang w:val="nl-BE" w:eastAsia="fr-BE"/>
              </w:rPr>
              <w:t xml:space="preserve"> : waarbij meer dan één machine wordt gebruikt</w:t>
            </w:r>
          </w:p>
        </w:tc>
        <w:tc>
          <w:tcPr>
            <w:tcW w:w="567" w:type="dxa"/>
            <w:tcBorders>
              <w:top w:val="single" w:sz="4" w:space="0" w:color="auto"/>
              <w:left w:val="nil"/>
              <w:bottom w:val="single" w:sz="4" w:space="0" w:color="auto"/>
              <w:right w:val="nil"/>
            </w:tcBorders>
            <w:shd w:val="clear" w:color="000000" w:fill="99FF99"/>
            <w:vAlign w:val="center"/>
            <w:hideMark/>
          </w:tcPr>
          <w:p w14:paraId="357EE056"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vMerge/>
            <w:tcBorders>
              <w:top w:val="nil"/>
              <w:left w:val="single" w:sz="4" w:space="0" w:color="auto"/>
              <w:bottom w:val="single" w:sz="4" w:space="0" w:color="000000"/>
              <w:right w:val="single" w:sz="4" w:space="0" w:color="auto"/>
            </w:tcBorders>
            <w:vAlign w:val="center"/>
            <w:hideMark/>
          </w:tcPr>
          <w:p w14:paraId="5F711CB4" w14:textId="77777777" w:rsidR="009E2D9F" w:rsidRPr="009E2D9F" w:rsidRDefault="009E2D9F" w:rsidP="009E2D9F">
            <w:pPr>
              <w:spacing w:after="0" w:line="240" w:lineRule="auto"/>
              <w:rPr>
                <w:rFonts w:ascii="Arial" w:eastAsia="Times New Roman" w:hAnsi="Arial" w:cs="Arial"/>
                <w:sz w:val="16"/>
                <w:szCs w:val="16"/>
                <w:lang w:eastAsia="fr-BE"/>
              </w:rPr>
            </w:pPr>
          </w:p>
        </w:tc>
        <w:tc>
          <w:tcPr>
            <w:tcW w:w="2835" w:type="dxa"/>
            <w:vMerge/>
            <w:tcBorders>
              <w:top w:val="nil"/>
              <w:left w:val="single" w:sz="4" w:space="0" w:color="auto"/>
              <w:bottom w:val="single" w:sz="4" w:space="0" w:color="000000"/>
              <w:right w:val="single" w:sz="8" w:space="0" w:color="auto"/>
            </w:tcBorders>
            <w:vAlign w:val="center"/>
            <w:hideMark/>
          </w:tcPr>
          <w:p w14:paraId="116720F3" w14:textId="77777777" w:rsidR="009E2D9F" w:rsidRPr="009E2D9F" w:rsidRDefault="009E2D9F" w:rsidP="009E2D9F">
            <w:pPr>
              <w:spacing w:after="0" w:line="240" w:lineRule="auto"/>
              <w:rPr>
                <w:rFonts w:ascii="Arial" w:eastAsia="Times New Roman" w:hAnsi="Arial" w:cs="Arial"/>
                <w:sz w:val="16"/>
                <w:szCs w:val="16"/>
                <w:lang w:eastAsia="fr-BE"/>
              </w:rPr>
            </w:pPr>
          </w:p>
        </w:tc>
      </w:tr>
      <w:tr w:rsidR="009E2D9F" w:rsidRPr="003D427D" w14:paraId="7B7F90A2" w14:textId="77777777" w:rsidTr="00F63922">
        <w:trPr>
          <w:trHeight w:val="1140"/>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75ECA3FE" w14:textId="1F291E56"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109 B</w:t>
            </w:r>
          </w:p>
        </w:tc>
        <w:tc>
          <w:tcPr>
            <w:tcW w:w="3756" w:type="dxa"/>
            <w:tcBorders>
              <w:top w:val="nil"/>
              <w:left w:val="nil"/>
              <w:bottom w:val="single" w:sz="4" w:space="0" w:color="auto"/>
              <w:right w:val="nil"/>
            </w:tcBorders>
            <w:shd w:val="clear" w:color="000000" w:fill="99FF99"/>
            <w:vAlign w:val="center"/>
            <w:hideMark/>
          </w:tcPr>
          <w:p w14:paraId="79B5FF0F"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destinées à la fabrication de papier ou de carton ou pour le traitement de papier ou carton et dont la force motrice est supérieure à 20 kW mais d’une capacité de production inférieure à 200 tonnes par jour pour les installations destinées à la fabrication de papier ou de carton</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606EE4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Inrichtingen bestemd voor de productie van papier of karton of voor de verwerking van papier of karton met een drijfkracht groter dan 20 kW maar  een productiecapaciteit van minder dan 200 ton per dag voor de inrichtingen bestemd voor de productie van papier of karton</w:t>
            </w:r>
          </w:p>
        </w:tc>
        <w:tc>
          <w:tcPr>
            <w:tcW w:w="567" w:type="dxa"/>
            <w:tcBorders>
              <w:top w:val="nil"/>
              <w:left w:val="nil"/>
              <w:bottom w:val="single" w:sz="4" w:space="0" w:color="auto"/>
              <w:right w:val="nil"/>
            </w:tcBorders>
            <w:shd w:val="clear" w:color="000000" w:fill="99FF99"/>
            <w:vAlign w:val="center"/>
            <w:hideMark/>
          </w:tcPr>
          <w:p w14:paraId="62EF7E71"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18D2A9C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exclusivement considérés comme des activités à risque: les ateliers de fabrication de papier et carton</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64C88412"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werkplaatsen voor de productie van papier of karton</w:t>
            </w:r>
          </w:p>
        </w:tc>
      </w:tr>
      <w:tr w:rsidR="009E2D9F" w:rsidRPr="003D427D" w14:paraId="3018E3B6" w14:textId="77777777" w:rsidTr="00F63922">
        <w:trPr>
          <w:trHeight w:val="52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67DC9ED8"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228</w:t>
            </w:r>
          </w:p>
        </w:tc>
        <w:tc>
          <w:tcPr>
            <w:tcW w:w="3756" w:type="dxa"/>
            <w:tcBorders>
              <w:top w:val="nil"/>
              <w:left w:val="nil"/>
              <w:bottom w:val="single" w:sz="4" w:space="0" w:color="auto"/>
              <w:right w:val="nil"/>
            </w:tcBorders>
            <w:shd w:val="clear" w:color="000000" w:fill="99FF99"/>
            <w:vAlign w:val="center"/>
            <w:hideMark/>
          </w:tcPr>
          <w:p w14:paraId="039C615F"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Installations industrielles destinées à la fabrication de papier, carton d'une capacité de </w:t>
            </w:r>
            <w:proofErr w:type="spellStart"/>
            <w:r w:rsidRPr="009E2D9F">
              <w:rPr>
                <w:rFonts w:ascii="Arial" w:eastAsia="Times New Roman" w:hAnsi="Arial" w:cs="Arial"/>
                <w:sz w:val="16"/>
                <w:szCs w:val="16"/>
                <w:lang w:eastAsia="fr-BE"/>
              </w:rPr>
              <w:t>prodcution</w:t>
            </w:r>
            <w:proofErr w:type="spellEnd"/>
            <w:r w:rsidRPr="009E2D9F">
              <w:rPr>
                <w:rFonts w:ascii="Arial" w:eastAsia="Times New Roman" w:hAnsi="Arial" w:cs="Arial"/>
                <w:sz w:val="16"/>
                <w:szCs w:val="16"/>
                <w:lang w:eastAsia="fr-BE"/>
              </w:rPr>
              <w:t xml:space="preserve"> supérieure à 200 tonnes par jour</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1501DDB"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Industriële inrichtingen voor het vervaardigen van </w:t>
            </w:r>
            <w:proofErr w:type="spellStart"/>
            <w:r w:rsidRPr="009E2D9F">
              <w:rPr>
                <w:rFonts w:ascii="Arial" w:eastAsia="Times New Roman" w:hAnsi="Arial" w:cs="Arial"/>
                <w:sz w:val="16"/>
                <w:szCs w:val="16"/>
                <w:lang w:val="nl-BE" w:eastAsia="fr-BE"/>
              </w:rPr>
              <w:t>paier</w:t>
            </w:r>
            <w:proofErr w:type="spellEnd"/>
            <w:r w:rsidRPr="009E2D9F">
              <w:rPr>
                <w:rFonts w:ascii="Arial" w:eastAsia="Times New Roman" w:hAnsi="Arial" w:cs="Arial"/>
                <w:sz w:val="16"/>
                <w:szCs w:val="16"/>
                <w:lang w:val="nl-BE" w:eastAsia="fr-BE"/>
              </w:rPr>
              <w:t>, karton, met een productiecapaciteit hoger dan 200 ton per dag</w:t>
            </w:r>
          </w:p>
        </w:tc>
        <w:tc>
          <w:tcPr>
            <w:tcW w:w="567" w:type="dxa"/>
            <w:tcBorders>
              <w:top w:val="nil"/>
              <w:left w:val="nil"/>
              <w:bottom w:val="single" w:sz="4" w:space="0" w:color="auto"/>
              <w:right w:val="nil"/>
            </w:tcBorders>
            <w:shd w:val="clear" w:color="000000" w:fill="99FF99"/>
            <w:vAlign w:val="center"/>
            <w:hideMark/>
          </w:tcPr>
          <w:p w14:paraId="199611B5"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2D321A9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exclusivement considérés comme des activités à risque: les ateliers de fabrication de papier et carton</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76337B9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werkplaatsen voor de productie van papier of karton</w:t>
            </w:r>
          </w:p>
        </w:tc>
      </w:tr>
      <w:tr w:rsidR="009E2D9F" w:rsidRPr="009E2D9F" w14:paraId="64B04A7D"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45E49C33"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229</w:t>
            </w:r>
          </w:p>
        </w:tc>
        <w:tc>
          <w:tcPr>
            <w:tcW w:w="3756" w:type="dxa"/>
            <w:tcBorders>
              <w:top w:val="nil"/>
              <w:left w:val="nil"/>
              <w:bottom w:val="single" w:sz="4" w:space="0" w:color="auto"/>
              <w:right w:val="single" w:sz="4" w:space="0" w:color="auto"/>
            </w:tcBorders>
            <w:shd w:val="clear" w:color="000000" w:fill="99FF99"/>
            <w:vAlign w:val="center"/>
            <w:hideMark/>
          </w:tcPr>
          <w:p w14:paraId="0ACDE896"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pour la fabrication de pâte de papier à partir du bois ou d'autres matières fibreuses.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186084A8"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Inrichtingen voor het vervaardigen van papierbrij uit hout en andere </w:t>
            </w:r>
            <w:proofErr w:type="spellStart"/>
            <w:r w:rsidRPr="009E2D9F">
              <w:rPr>
                <w:rFonts w:ascii="Arial" w:eastAsia="Times New Roman" w:hAnsi="Arial" w:cs="Arial"/>
                <w:sz w:val="16"/>
                <w:szCs w:val="16"/>
                <w:lang w:val="nl-BE" w:eastAsia="fr-BE"/>
              </w:rPr>
              <w:t>vezelhoudende</w:t>
            </w:r>
            <w:proofErr w:type="spellEnd"/>
            <w:r w:rsidRPr="009E2D9F">
              <w:rPr>
                <w:rFonts w:ascii="Arial" w:eastAsia="Times New Roman" w:hAnsi="Arial" w:cs="Arial"/>
                <w:sz w:val="16"/>
                <w:szCs w:val="16"/>
                <w:lang w:val="nl-BE" w:eastAsia="fr-BE"/>
              </w:rPr>
              <w:t xml:space="preserve"> stoffen.</w:t>
            </w:r>
          </w:p>
        </w:tc>
        <w:tc>
          <w:tcPr>
            <w:tcW w:w="567" w:type="dxa"/>
            <w:tcBorders>
              <w:top w:val="single" w:sz="4" w:space="0" w:color="auto"/>
              <w:left w:val="nil"/>
              <w:bottom w:val="single" w:sz="4" w:space="0" w:color="auto"/>
              <w:right w:val="single" w:sz="4" w:space="0" w:color="auto"/>
            </w:tcBorders>
            <w:shd w:val="clear" w:color="000000" w:fill="99FF99"/>
            <w:vAlign w:val="center"/>
            <w:hideMark/>
          </w:tcPr>
          <w:p w14:paraId="49CDE36B"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nil"/>
              <w:left w:val="nil"/>
              <w:bottom w:val="single" w:sz="4" w:space="0" w:color="auto"/>
              <w:right w:val="single" w:sz="4" w:space="0" w:color="auto"/>
            </w:tcBorders>
            <w:shd w:val="clear" w:color="000000" w:fill="CCFFCC"/>
            <w:vAlign w:val="center"/>
            <w:hideMark/>
          </w:tcPr>
          <w:p w14:paraId="7A9A5729"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0E0EB131"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52580646" w14:textId="77777777" w:rsidTr="00F63922">
        <w:trPr>
          <w:trHeight w:val="1224"/>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5A268542" w14:textId="77D54618"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110 B</w:t>
            </w:r>
          </w:p>
        </w:tc>
        <w:tc>
          <w:tcPr>
            <w:tcW w:w="3756" w:type="dxa"/>
            <w:tcBorders>
              <w:top w:val="nil"/>
              <w:left w:val="nil"/>
              <w:bottom w:val="single" w:sz="4" w:space="0" w:color="auto"/>
              <w:right w:val="nil"/>
            </w:tcBorders>
            <w:shd w:val="clear" w:color="000000" w:fill="99FF99"/>
            <w:vAlign w:val="center"/>
            <w:hideMark/>
          </w:tcPr>
          <w:p w14:paraId="4A41C7AD"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b) -          Mégisseries, tanneries et établissements pour le traitement des peaux</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Ateliers pour la production d'objets à base de crin, poils, plumes, etc., dont la force motrice est supérieure à 20 kW</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89625C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b) -          Witlooierijen, looierijen en inrichtingen voor de bewerking van huiden,</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werkplaatsen voor de productie van voorwerpen op basis van paardenhaar, haren, veren, enz., met een drijfkracht hoger dan 20 kW</w:t>
            </w:r>
          </w:p>
        </w:tc>
        <w:tc>
          <w:tcPr>
            <w:tcW w:w="567" w:type="dxa"/>
            <w:tcBorders>
              <w:top w:val="nil"/>
              <w:left w:val="nil"/>
              <w:bottom w:val="single" w:sz="4" w:space="0" w:color="auto"/>
              <w:right w:val="single" w:sz="4" w:space="0" w:color="auto"/>
            </w:tcBorders>
            <w:shd w:val="clear" w:color="000000" w:fill="99FF99"/>
            <w:vAlign w:val="center"/>
            <w:hideMark/>
          </w:tcPr>
          <w:p w14:paraId="1333BBF4"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42BE3AC2"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Ne sont pas considérés comme des activités à risque: les ateliers pour la production d'objets à base de crin, poils, plumes, etc.</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16E10A62"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niet beschouwd als risicoactiviteiten: werkplaatsen voor de productie van voorwerpen op basis van paardenhaar, haren, veren, enz.</w:t>
            </w:r>
          </w:p>
        </w:tc>
      </w:tr>
      <w:tr w:rsidR="009E2D9F" w:rsidRPr="003D427D" w14:paraId="317132C5" w14:textId="77777777" w:rsidTr="00D63286">
        <w:trPr>
          <w:trHeight w:val="567"/>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15F59FDF" w14:textId="2A7F2DC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112 B</w:t>
            </w:r>
          </w:p>
        </w:tc>
        <w:tc>
          <w:tcPr>
            <w:tcW w:w="3756" w:type="dxa"/>
            <w:tcBorders>
              <w:top w:val="nil"/>
              <w:left w:val="nil"/>
              <w:bottom w:val="single" w:sz="4" w:space="0" w:color="auto"/>
              <w:right w:val="nil"/>
            </w:tcBorders>
            <w:shd w:val="clear" w:color="000000" w:fill="99FF99"/>
            <w:vAlign w:val="center"/>
            <w:hideMark/>
          </w:tcPr>
          <w:p w14:paraId="0A1DF83D"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Dépôts de produits phytopharmaceutiques (au sens de l'article 3, 4°, a, de l'ordonnance du 20 juin 2013 relative à une utilisation des pesticides compatible avec le développement durable en Région de Bruxelles-Capitale) dont la capacité totale est: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supérieure à 100 kg pour les produits phytopharmaceutiques à usage professionnel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supérieure à 1000 kg pour les produits phytopharmaceutiques à usage non professionnel</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3AC8F5EE"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Opslagplaatsen van gewasbeschermingsmiddelen (in de zin van artikel 3, 4°, a, van de ordonnantie van 20 juni 2013 betreffende een pesticidegebruik dat verenigbaar is met de duurzame ontwikkeling van het Brussels Hoofdstedelijk Gewest) met een totale capaciteit: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groter dan 100 kg voor gewasbeschermingsmiddelen voor professioneel gebruik</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groter dan 1.000 kg voor gewasbeschermingsmiddelen voor niet-professioneel gebruik</w:t>
            </w:r>
          </w:p>
        </w:tc>
        <w:tc>
          <w:tcPr>
            <w:tcW w:w="567" w:type="dxa"/>
            <w:tcBorders>
              <w:top w:val="nil"/>
              <w:left w:val="nil"/>
              <w:bottom w:val="single" w:sz="4" w:space="0" w:color="auto"/>
              <w:right w:val="single" w:sz="4" w:space="0" w:color="auto"/>
            </w:tcBorders>
            <w:shd w:val="clear" w:color="000000" w:fill="99FF99"/>
            <w:vAlign w:val="center"/>
            <w:hideMark/>
          </w:tcPr>
          <w:p w14:paraId="4A8F8706"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7F3BC9A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des activités à risque: les dépôts de produits qui sont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33B492D1"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 de opslag van producten die volgens de CLP-verordening geklasseerd zijn als producten die een risico of een gevaar voor de gezondheid inhouden, anders dan corrosief en irriterend, of voor het leefmilieu, anders dan voor de ozonlaag*.</w:t>
            </w:r>
          </w:p>
        </w:tc>
      </w:tr>
      <w:tr w:rsidR="009E2D9F" w:rsidRPr="003D427D" w14:paraId="06C7E090" w14:textId="77777777" w:rsidTr="00F63922">
        <w:trPr>
          <w:trHeight w:val="1200"/>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5EB5770C"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113</w:t>
            </w:r>
          </w:p>
        </w:tc>
        <w:tc>
          <w:tcPr>
            <w:tcW w:w="3756" w:type="dxa"/>
            <w:tcBorders>
              <w:top w:val="nil"/>
              <w:left w:val="nil"/>
              <w:bottom w:val="single" w:sz="4" w:space="0" w:color="auto"/>
              <w:right w:val="single" w:sz="4" w:space="0" w:color="auto"/>
            </w:tcBorders>
            <w:shd w:val="clear" w:color="000000" w:fill="99FF99"/>
            <w:vAlign w:val="center"/>
            <w:hideMark/>
          </w:tcPr>
          <w:p w14:paraId="3C03E051"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Usines, ateliers pour la production, la formulation, le conditionnement de produits phytopharmaceutiques (au sens de l'article 3, 4°, a, de l'ordonnance du 20 juin 2013 relative à une utilisation des pesticides compatible avec le développement durable en Région de Bruxelles-Capitale)</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7BC168F3"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Fabrieken, werkplaatsen voor de productie, het formuleren, het conditioneren van gewasbeschermingsmiddelen (in de zin van artikel 3, 4°, a, van de ordonnantie van 20 juni 2013 betreffende een pesticidegebruik dat verenigbaar is met de duurzame ontwikkeling van het Brussels Hoofdstedelijk Gewest)</w:t>
            </w:r>
          </w:p>
        </w:tc>
        <w:tc>
          <w:tcPr>
            <w:tcW w:w="567" w:type="dxa"/>
            <w:tcBorders>
              <w:top w:val="nil"/>
              <w:left w:val="nil"/>
              <w:bottom w:val="single" w:sz="4" w:space="0" w:color="auto"/>
              <w:right w:val="single" w:sz="4" w:space="0" w:color="auto"/>
            </w:tcBorders>
            <w:shd w:val="clear" w:color="000000" w:fill="99FF99"/>
            <w:vAlign w:val="center"/>
            <w:hideMark/>
          </w:tcPr>
          <w:p w14:paraId="45E43733"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5F26825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des activités à risque si les produits concernés sont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tcBorders>
              <w:top w:val="nil"/>
              <w:left w:val="nil"/>
              <w:bottom w:val="single" w:sz="4" w:space="0" w:color="auto"/>
              <w:right w:val="single" w:sz="8" w:space="0" w:color="auto"/>
            </w:tcBorders>
            <w:shd w:val="clear" w:color="000000" w:fill="CCFFCC"/>
            <w:vAlign w:val="center"/>
            <w:hideMark/>
          </w:tcPr>
          <w:p w14:paraId="6363CD4D"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als de bedoelde producten volgens de CLP-verordening geklasseerd zijn als producten die een risico of een gevaar voor de gezondheid inhouden, anders dan corrosief en irriterend, of voor het leefmilieu, anders dan voor de ozonlaag*.</w:t>
            </w:r>
          </w:p>
        </w:tc>
      </w:tr>
      <w:tr w:rsidR="009E2D9F" w:rsidRPr="009E2D9F" w14:paraId="72964E66"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3CFEA2C5"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231</w:t>
            </w:r>
          </w:p>
        </w:tc>
        <w:tc>
          <w:tcPr>
            <w:tcW w:w="3756" w:type="dxa"/>
            <w:tcBorders>
              <w:top w:val="nil"/>
              <w:left w:val="nil"/>
              <w:bottom w:val="single" w:sz="4" w:space="0" w:color="auto"/>
              <w:right w:val="single" w:sz="4" w:space="0" w:color="auto"/>
            </w:tcBorders>
            <w:shd w:val="clear" w:color="000000" w:fill="99FF99"/>
            <w:vAlign w:val="center"/>
            <w:hideMark/>
          </w:tcPr>
          <w:p w14:paraId="00EEB5CE"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Installations de stockage de pétrole, de produits pétrochimiques ou de produits chimiques d’une capacité de 200.000 tonnes ou plus.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60C154F5"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petroleum, petrochemicaliën of chemicaliën met een opslagcapaciteit van 200.000 ton of meer.</w:t>
            </w:r>
          </w:p>
        </w:tc>
        <w:tc>
          <w:tcPr>
            <w:tcW w:w="567" w:type="dxa"/>
            <w:tcBorders>
              <w:top w:val="nil"/>
              <w:left w:val="nil"/>
              <w:bottom w:val="single" w:sz="4" w:space="0" w:color="auto"/>
              <w:right w:val="single" w:sz="4" w:space="0" w:color="auto"/>
            </w:tcBorders>
            <w:shd w:val="clear" w:color="000000" w:fill="99FF99"/>
            <w:vAlign w:val="center"/>
            <w:hideMark/>
          </w:tcPr>
          <w:p w14:paraId="73E532E3"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1A</w:t>
            </w:r>
          </w:p>
        </w:tc>
        <w:tc>
          <w:tcPr>
            <w:tcW w:w="2835" w:type="dxa"/>
            <w:tcBorders>
              <w:top w:val="nil"/>
              <w:left w:val="nil"/>
              <w:bottom w:val="single" w:sz="4" w:space="0" w:color="auto"/>
              <w:right w:val="single" w:sz="4" w:space="0" w:color="auto"/>
            </w:tcBorders>
            <w:shd w:val="clear" w:color="000000" w:fill="CCFFCC"/>
            <w:vAlign w:val="center"/>
            <w:hideMark/>
          </w:tcPr>
          <w:p w14:paraId="3ADE2BBF"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78410CD5"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3D427D" w14:paraId="76469AEF" w14:textId="77777777" w:rsidTr="00F63922">
        <w:trPr>
          <w:trHeight w:val="2439"/>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0B4A852F" w14:textId="227BAE8E"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121 B</w:t>
            </w:r>
          </w:p>
        </w:tc>
        <w:tc>
          <w:tcPr>
            <w:tcW w:w="3756" w:type="dxa"/>
            <w:tcBorders>
              <w:top w:val="nil"/>
              <w:left w:val="nil"/>
              <w:bottom w:val="single" w:sz="4" w:space="0" w:color="auto"/>
              <w:right w:val="nil"/>
            </w:tcBorders>
            <w:shd w:val="clear" w:color="000000" w:fill="99FF99"/>
            <w:vAlign w:val="center"/>
            <w:hideMark/>
          </w:tcPr>
          <w:p w14:paraId="7F883F9C"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substances ou préparations dangereuses (caractérisées par une mention de danger H) non repris sous une autre rubrique et dont la capacité totale sur le site est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de plus de 1.000 à 5.000 kg pour les substances ou préparations n'étant considérées que comme inflammables, nocives ou irritantes à l’exception de celles reprises en d)</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de plus de 300 à 1.000kg pour les autres substances ou préparations à l'exception de celles reprises en d)</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8FD4B38"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gevaarlijke stoffen of bereidingen (voorzien van een gevarenaanduiding H), die niet in een andere rubriek zijn opgenomen, met een totale capaciteit op de site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 van meer dan 1.000 tot en met 5.000 kg voor als ontvlambaar, </w:t>
            </w:r>
            <w:proofErr w:type="spellStart"/>
            <w:r w:rsidRPr="009E2D9F">
              <w:rPr>
                <w:rFonts w:ascii="Arial" w:eastAsia="Times New Roman" w:hAnsi="Arial" w:cs="Arial"/>
                <w:sz w:val="16"/>
                <w:szCs w:val="16"/>
                <w:lang w:val="nl-BE" w:eastAsia="fr-BE"/>
              </w:rPr>
              <w:t>schadelik</w:t>
            </w:r>
            <w:proofErr w:type="spellEnd"/>
            <w:r w:rsidRPr="009E2D9F">
              <w:rPr>
                <w:rFonts w:ascii="Arial" w:eastAsia="Times New Roman" w:hAnsi="Arial" w:cs="Arial"/>
                <w:sz w:val="16"/>
                <w:szCs w:val="16"/>
                <w:lang w:val="nl-BE" w:eastAsia="fr-BE"/>
              </w:rPr>
              <w:t xml:space="preserve"> of irriterend beschouwde materialen of bereidingen met uitzondering van die welke sub d) staan vermeld</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van meer dan 300 tot en met 1.000 kg voor andere stoffen of bereidingen met uitzondering van die welke sub d) staan vermeld</w:t>
            </w:r>
          </w:p>
        </w:tc>
        <w:tc>
          <w:tcPr>
            <w:tcW w:w="567" w:type="dxa"/>
            <w:tcBorders>
              <w:top w:val="nil"/>
              <w:left w:val="nil"/>
              <w:bottom w:val="single" w:sz="4" w:space="0" w:color="auto"/>
              <w:right w:val="single" w:sz="4" w:space="0" w:color="auto"/>
            </w:tcBorders>
            <w:shd w:val="clear" w:color="000000" w:fill="99FF99"/>
            <w:vAlign w:val="center"/>
            <w:hideMark/>
          </w:tcPr>
          <w:p w14:paraId="183B6D73"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tcBorders>
              <w:top w:val="nil"/>
              <w:left w:val="nil"/>
              <w:bottom w:val="single" w:sz="4" w:space="0" w:color="auto"/>
              <w:right w:val="single" w:sz="4" w:space="0" w:color="auto"/>
            </w:tcBorders>
            <w:shd w:val="clear" w:color="000000" w:fill="CCFFCC"/>
            <w:vAlign w:val="center"/>
            <w:hideMark/>
          </w:tcPr>
          <w:p w14:paraId="3AE2A0E8"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des activités à risque: les dépôts de produits qui sont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Ne sont pas considérés comme des activités à risque : les dépôts de produits non enterrés qui concernent que des conditionnements individuels fermés de maximum 30 litres ou 30 kg qui ne sont pas utilisés en lien avec une autre installation classée de l’unité technique et géographique.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2343ACBD"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de opslag van producten die volgens de CLP-verordening geklasseerd zijn als producten die een risico of een gevaar voor de gezondheid inhouden, anders dan corrosief en irriterend, of voor het leefmilieu, anders dan voor de ozonlaag*.</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Worden niet als risicoactiviteiten beschouwd : de niet-ondergrondse opslagen die betrekking hebben op afgesloten individuele verpakkingen van maximum 30 liter of 30 kg die niet gebruikt worden in verband met een andere ingedeelde inrichting van de technische en geografische eenheid.</w:t>
            </w:r>
          </w:p>
        </w:tc>
      </w:tr>
      <w:tr w:rsidR="009E2D9F" w:rsidRPr="003D427D" w14:paraId="448D03AC" w14:textId="77777777" w:rsidTr="00D63286">
        <w:trPr>
          <w:trHeight w:val="566"/>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0DB2BF95" w14:textId="265E468E"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121 C</w:t>
            </w:r>
          </w:p>
        </w:tc>
        <w:tc>
          <w:tcPr>
            <w:tcW w:w="3756" w:type="dxa"/>
            <w:tcBorders>
              <w:top w:val="nil"/>
              <w:left w:val="nil"/>
              <w:bottom w:val="single" w:sz="4" w:space="0" w:color="auto"/>
              <w:right w:val="nil"/>
            </w:tcBorders>
            <w:shd w:val="clear" w:color="000000" w:fill="99FF99"/>
            <w:vAlign w:val="center"/>
            <w:hideMark/>
          </w:tcPr>
          <w:p w14:paraId="65C0B145"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de substances ou préparations dangereuses (caractérisées par une mention de danger H) non repris sous une autre rubrique et dont la capacité totale sur le site est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de plus de 5.000 kg pour les substances ou préparations n’étant considérées que comme inflammables, nocives ou irritantes à l’exception de celles reprises en d)</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de plus de 1.000 kg pour les autres à l’exception de celles reprises en d)</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C5D834D"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Opslagplaatsen voor gevaarlijke stoffen of bereidingen (voorzien van een gevarenaanduiding H), die niet in een andere rubriek zijn opgenomen, met een totale capaciteit op de site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van meer dan 5.000 kg voor als ontvlambaar, schadelijk of irriterend beschouwde stoffen of bereidingen met uitzondering van die welke sub d) staan vermeld</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van meer dan 1.000 kg voor andere stoffen of bereidingen met uitzondering van die welke sub d) staan vermeld</w:t>
            </w:r>
          </w:p>
        </w:tc>
        <w:tc>
          <w:tcPr>
            <w:tcW w:w="567" w:type="dxa"/>
            <w:tcBorders>
              <w:top w:val="nil"/>
              <w:left w:val="nil"/>
              <w:bottom w:val="single" w:sz="4" w:space="0" w:color="auto"/>
              <w:right w:val="single" w:sz="4" w:space="0" w:color="auto"/>
            </w:tcBorders>
            <w:shd w:val="clear" w:color="000000" w:fill="99FF99"/>
            <w:vAlign w:val="center"/>
            <w:hideMark/>
          </w:tcPr>
          <w:p w14:paraId="1A82F5A5"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2D167829"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des activités à risque: les dépôts de produits qui sont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Ne sont pas considérés comme des activités à risque : les dépôts de produits non enterrés qui concernent que des conditionnements individuels fermés de maximum 30 litres ou 30 kg qui ne sont pas utilisés en lien avec une autre installation classée de l’unité technique et géographique.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520C7FBB"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de opslag van producten die volgens de CLP-verordening geklasseerd zijn als producten die een risico of een gevaar voor de gezondheid inhouden, anders dan corrosief en irriterend, of voor het leefmilieu, anders dan voor de ozonlaag*.</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Worden niet als risicoactiviteiten beschouwd : de niet-ondergrondse opslagen die betrekking hebben op afgesloten individuele verpakkingen van maximum 30 liter of 30 kg die niet gebruikt worden in verband met een </w:t>
            </w:r>
            <w:r w:rsidRPr="009E2D9F">
              <w:rPr>
                <w:rFonts w:ascii="Arial" w:eastAsia="Times New Roman" w:hAnsi="Arial" w:cs="Arial"/>
                <w:sz w:val="16"/>
                <w:szCs w:val="16"/>
                <w:lang w:val="nl-BE" w:eastAsia="fr-BE"/>
              </w:rPr>
              <w:lastRenderedPageBreak/>
              <w:t>andere ingedeelde inrichting van de technische en geografische eenheid.</w:t>
            </w:r>
          </w:p>
        </w:tc>
      </w:tr>
      <w:tr w:rsidR="009E2D9F" w:rsidRPr="003D427D" w14:paraId="50EE0578" w14:textId="77777777" w:rsidTr="00F63922">
        <w:trPr>
          <w:trHeight w:val="4368"/>
          <w:jc w:val="center"/>
        </w:trPr>
        <w:tc>
          <w:tcPr>
            <w:tcW w:w="0" w:type="auto"/>
            <w:tcBorders>
              <w:top w:val="nil"/>
              <w:left w:val="single" w:sz="8" w:space="0" w:color="auto"/>
              <w:bottom w:val="nil"/>
              <w:right w:val="single" w:sz="4" w:space="0" w:color="auto"/>
            </w:tcBorders>
            <w:shd w:val="clear" w:color="000000" w:fill="92D050"/>
            <w:vAlign w:val="center"/>
            <w:hideMark/>
          </w:tcPr>
          <w:p w14:paraId="70D2B60C" w14:textId="7841FB1D"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121 D</w:t>
            </w:r>
          </w:p>
        </w:tc>
        <w:tc>
          <w:tcPr>
            <w:tcW w:w="3756" w:type="dxa"/>
            <w:tcBorders>
              <w:top w:val="nil"/>
              <w:left w:val="nil"/>
              <w:bottom w:val="nil"/>
              <w:right w:val="nil"/>
            </w:tcBorders>
            <w:shd w:val="clear" w:color="000000" w:fill="99FF99"/>
            <w:vAlign w:val="center"/>
            <w:hideMark/>
          </w:tcPr>
          <w:p w14:paraId="0FDEBBFB" w14:textId="77777777" w:rsidR="009E2D9F" w:rsidRPr="009E2D9F" w:rsidRDefault="009E2D9F" w:rsidP="009E2D9F">
            <w:pPr>
              <w:spacing w:after="24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Dépôts dont la capacité totale sur le site est : de plus de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100 kg de trioxyde d’arsenic, acide (III) arsénieux ou ses sels</w:t>
            </w:r>
            <w:r w:rsidRPr="009E2D9F">
              <w:rPr>
                <w:rFonts w:ascii="Arial" w:eastAsia="Times New Roman" w:hAnsi="Arial" w:cs="Arial"/>
                <w:sz w:val="16"/>
                <w:szCs w:val="16"/>
                <w:lang w:eastAsia="fr-BE"/>
              </w:rPr>
              <w:br/>
              <w:t>-           10 kg de 4,4-méthylène-bis (2-chloraniline) et/ou ses sels, sous forme pulvérulente</w:t>
            </w:r>
            <w:r w:rsidRPr="009E2D9F">
              <w:rPr>
                <w:rFonts w:ascii="Arial" w:eastAsia="Times New Roman" w:hAnsi="Arial" w:cs="Arial"/>
                <w:sz w:val="16"/>
                <w:szCs w:val="16"/>
                <w:lang w:eastAsia="fr-BE"/>
              </w:rPr>
              <w:br/>
              <w:t>-           150 kg d’isocyanate de méthyle</w:t>
            </w:r>
            <w:r w:rsidRPr="009E2D9F">
              <w:rPr>
                <w:rFonts w:ascii="Arial" w:eastAsia="Times New Roman" w:hAnsi="Arial" w:cs="Arial"/>
                <w:sz w:val="16"/>
                <w:szCs w:val="16"/>
                <w:lang w:eastAsia="fr-BE"/>
              </w:rPr>
              <w:br/>
              <w:t>-           300 kg de dichlorure de carbonyle (phosgène)</w:t>
            </w:r>
            <w:r w:rsidRPr="009E2D9F">
              <w:rPr>
                <w:rFonts w:ascii="Arial" w:eastAsia="Times New Roman" w:hAnsi="Arial" w:cs="Arial"/>
                <w:sz w:val="16"/>
                <w:szCs w:val="16"/>
                <w:lang w:eastAsia="fr-BE"/>
              </w:rPr>
              <w:br/>
              <w:t xml:space="preserve">-           200 kg de </w:t>
            </w:r>
            <w:proofErr w:type="spellStart"/>
            <w:r w:rsidRPr="009E2D9F">
              <w:rPr>
                <w:rFonts w:ascii="Arial" w:eastAsia="Times New Roman" w:hAnsi="Arial" w:cs="Arial"/>
                <w:sz w:val="16"/>
                <w:szCs w:val="16"/>
                <w:lang w:eastAsia="fr-BE"/>
              </w:rPr>
              <w:t>trihydrure</w:t>
            </w:r>
            <w:proofErr w:type="spellEnd"/>
            <w:r w:rsidRPr="009E2D9F">
              <w:rPr>
                <w:rFonts w:ascii="Arial" w:eastAsia="Times New Roman" w:hAnsi="Arial" w:cs="Arial"/>
                <w:sz w:val="16"/>
                <w:szCs w:val="16"/>
                <w:lang w:eastAsia="fr-BE"/>
              </w:rPr>
              <w:t xml:space="preserve"> d’arsenic (arsine)</w:t>
            </w:r>
            <w:r w:rsidRPr="009E2D9F">
              <w:rPr>
                <w:rFonts w:ascii="Arial" w:eastAsia="Times New Roman" w:hAnsi="Arial" w:cs="Arial"/>
                <w:sz w:val="16"/>
                <w:szCs w:val="16"/>
                <w:lang w:eastAsia="fr-BE"/>
              </w:rPr>
              <w:br/>
              <w:t xml:space="preserve">-           200 kg de </w:t>
            </w:r>
            <w:proofErr w:type="spellStart"/>
            <w:r w:rsidRPr="009E2D9F">
              <w:rPr>
                <w:rFonts w:ascii="Arial" w:eastAsia="Times New Roman" w:hAnsi="Arial" w:cs="Arial"/>
                <w:sz w:val="16"/>
                <w:szCs w:val="16"/>
                <w:lang w:eastAsia="fr-BE"/>
              </w:rPr>
              <w:t>trihydrure</w:t>
            </w:r>
            <w:proofErr w:type="spellEnd"/>
            <w:r w:rsidRPr="009E2D9F">
              <w:rPr>
                <w:rFonts w:ascii="Arial" w:eastAsia="Times New Roman" w:hAnsi="Arial" w:cs="Arial"/>
                <w:sz w:val="16"/>
                <w:szCs w:val="16"/>
                <w:lang w:eastAsia="fr-BE"/>
              </w:rPr>
              <w:t xml:space="preserve"> de phosphore (phosphine)</w:t>
            </w:r>
            <w:r w:rsidRPr="009E2D9F">
              <w:rPr>
                <w:rFonts w:ascii="Arial" w:eastAsia="Times New Roman" w:hAnsi="Arial" w:cs="Arial"/>
                <w:sz w:val="16"/>
                <w:szCs w:val="16"/>
                <w:lang w:eastAsia="fr-BE"/>
              </w:rPr>
              <w:br/>
              <w:t xml:space="preserve">-           1 kg de </w:t>
            </w:r>
            <w:proofErr w:type="spellStart"/>
            <w:r w:rsidRPr="009E2D9F">
              <w:rPr>
                <w:rFonts w:ascii="Arial" w:eastAsia="Times New Roman" w:hAnsi="Arial" w:cs="Arial"/>
                <w:sz w:val="16"/>
                <w:szCs w:val="16"/>
                <w:lang w:eastAsia="fr-BE"/>
              </w:rPr>
              <w:t>polychloro-dibenzofuranes</w:t>
            </w:r>
            <w:proofErr w:type="spellEnd"/>
            <w:r w:rsidRPr="009E2D9F">
              <w:rPr>
                <w:rFonts w:ascii="Arial" w:eastAsia="Times New Roman" w:hAnsi="Arial" w:cs="Arial"/>
                <w:sz w:val="16"/>
                <w:szCs w:val="16"/>
                <w:lang w:eastAsia="fr-BE"/>
              </w:rPr>
              <w:t xml:space="preserve"> et </w:t>
            </w:r>
            <w:proofErr w:type="spellStart"/>
            <w:r w:rsidRPr="009E2D9F">
              <w:rPr>
                <w:rFonts w:ascii="Arial" w:eastAsia="Times New Roman" w:hAnsi="Arial" w:cs="Arial"/>
                <w:sz w:val="16"/>
                <w:szCs w:val="16"/>
                <w:lang w:eastAsia="fr-BE"/>
              </w:rPr>
              <w:t>polychloro-dibenzodioxines</w:t>
            </w:r>
            <w:proofErr w:type="spellEnd"/>
            <w:r w:rsidRPr="009E2D9F">
              <w:rPr>
                <w:rFonts w:ascii="Arial" w:eastAsia="Times New Roman" w:hAnsi="Arial" w:cs="Arial"/>
                <w:sz w:val="16"/>
                <w:szCs w:val="16"/>
                <w:lang w:eastAsia="fr-BE"/>
              </w:rPr>
              <w:t xml:space="preserve"> (y compris TCDD), calculées en équivalent TCDD</w:t>
            </w:r>
            <w:r w:rsidRPr="009E2D9F">
              <w:rPr>
                <w:rFonts w:ascii="Arial" w:eastAsia="Times New Roman" w:hAnsi="Arial" w:cs="Arial"/>
                <w:sz w:val="16"/>
                <w:szCs w:val="16"/>
                <w:lang w:eastAsia="fr-BE"/>
              </w:rPr>
              <w:br/>
              <w:t>-          1 kg des carcinogènes suivants : 4-aminobiphényle et/ou ses sels, benzidine et/ou ses sels, oxyde de bis-(</w:t>
            </w:r>
            <w:proofErr w:type="spellStart"/>
            <w:r w:rsidRPr="009E2D9F">
              <w:rPr>
                <w:rFonts w:ascii="Arial" w:eastAsia="Times New Roman" w:hAnsi="Arial" w:cs="Arial"/>
                <w:sz w:val="16"/>
                <w:szCs w:val="16"/>
                <w:lang w:eastAsia="fr-BE"/>
              </w:rPr>
              <w:t>chlorométhyle</w:t>
            </w:r>
            <w:proofErr w:type="spellEnd"/>
            <w:r w:rsidRPr="009E2D9F">
              <w:rPr>
                <w:rFonts w:ascii="Arial" w:eastAsia="Times New Roman" w:hAnsi="Arial" w:cs="Arial"/>
                <w:sz w:val="16"/>
                <w:szCs w:val="16"/>
                <w:lang w:eastAsia="fr-BE"/>
              </w:rPr>
              <w:t xml:space="preserve">), oxyde de </w:t>
            </w:r>
            <w:proofErr w:type="spellStart"/>
            <w:r w:rsidRPr="009E2D9F">
              <w:rPr>
                <w:rFonts w:ascii="Arial" w:eastAsia="Times New Roman" w:hAnsi="Arial" w:cs="Arial"/>
                <w:sz w:val="16"/>
                <w:szCs w:val="16"/>
                <w:lang w:eastAsia="fr-BE"/>
              </w:rPr>
              <w:t>chlorométhyle</w:t>
            </w:r>
            <w:proofErr w:type="spellEnd"/>
            <w:r w:rsidRPr="009E2D9F">
              <w:rPr>
                <w:rFonts w:ascii="Arial" w:eastAsia="Times New Roman" w:hAnsi="Arial" w:cs="Arial"/>
                <w:sz w:val="16"/>
                <w:szCs w:val="16"/>
                <w:lang w:eastAsia="fr-BE"/>
              </w:rPr>
              <w:t xml:space="preserve"> et de méthyle, chlorure de </w:t>
            </w:r>
            <w:proofErr w:type="spellStart"/>
            <w:r w:rsidRPr="009E2D9F">
              <w:rPr>
                <w:rFonts w:ascii="Arial" w:eastAsia="Times New Roman" w:hAnsi="Arial" w:cs="Arial"/>
                <w:sz w:val="16"/>
                <w:szCs w:val="16"/>
                <w:lang w:eastAsia="fr-BE"/>
              </w:rPr>
              <w:t>diméthyl-carbamoyl</w:t>
            </w:r>
            <w:proofErr w:type="spellEnd"/>
            <w:r w:rsidRPr="009E2D9F">
              <w:rPr>
                <w:rFonts w:ascii="Arial" w:eastAsia="Times New Roman" w:hAnsi="Arial" w:cs="Arial"/>
                <w:sz w:val="16"/>
                <w:szCs w:val="16"/>
                <w:lang w:eastAsia="fr-BE"/>
              </w:rPr>
              <w:t>, </w:t>
            </w:r>
            <w:proofErr w:type="spellStart"/>
            <w:r w:rsidRPr="009E2D9F">
              <w:rPr>
                <w:rFonts w:ascii="Arial" w:eastAsia="Times New Roman" w:hAnsi="Arial" w:cs="Arial"/>
                <w:sz w:val="16"/>
                <w:szCs w:val="16"/>
                <w:lang w:eastAsia="fr-BE"/>
              </w:rPr>
              <w:t>diméthylnitrosamine</w:t>
            </w:r>
            <w:proofErr w:type="spellEnd"/>
            <w:r w:rsidRPr="009E2D9F">
              <w:rPr>
                <w:rFonts w:ascii="Arial" w:eastAsia="Times New Roman" w:hAnsi="Arial" w:cs="Arial"/>
                <w:sz w:val="16"/>
                <w:szCs w:val="16"/>
                <w:lang w:eastAsia="fr-BE"/>
              </w:rPr>
              <w:t xml:space="preserve">, </w:t>
            </w:r>
            <w:proofErr w:type="spellStart"/>
            <w:r w:rsidRPr="009E2D9F">
              <w:rPr>
                <w:rFonts w:ascii="Arial" w:eastAsia="Times New Roman" w:hAnsi="Arial" w:cs="Arial"/>
                <w:sz w:val="16"/>
                <w:szCs w:val="16"/>
                <w:lang w:eastAsia="fr-BE"/>
              </w:rPr>
              <w:t>triamide</w:t>
            </w:r>
            <w:proofErr w:type="spellEnd"/>
            <w:r w:rsidRPr="009E2D9F">
              <w:rPr>
                <w:rFonts w:ascii="Arial" w:eastAsia="Times New Roman" w:hAnsi="Arial" w:cs="Arial"/>
                <w:sz w:val="16"/>
                <w:szCs w:val="16"/>
                <w:lang w:eastAsia="fr-BE"/>
              </w:rPr>
              <w:t xml:space="preserve"> </w:t>
            </w:r>
            <w:proofErr w:type="spellStart"/>
            <w:r w:rsidRPr="009E2D9F">
              <w:rPr>
                <w:rFonts w:ascii="Arial" w:eastAsia="Times New Roman" w:hAnsi="Arial" w:cs="Arial"/>
                <w:sz w:val="16"/>
                <w:szCs w:val="16"/>
                <w:lang w:eastAsia="fr-BE"/>
              </w:rPr>
              <w:t>hexaméthyl</w:t>
            </w:r>
            <w:proofErr w:type="spellEnd"/>
            <w:r w:rsidRPr="009E2D9F">
              <w:rPr>
                <w:rFonts w:ascii="Arial" w:eastAsia="Times New Roman" w:hAnsi="Arial" w:cs="Arial"/>
                <w:sz w:val="16"/>
                <w:szCs w:val="16"/>
                <w:lang w:eastAsia="fr-BE"/>
              </w:rPr>
              <w:t>-phosphorique, 2-naphtylamine et/ou ses sels et 1,3-propanesultone 4-nitrodi-phényle</w:t>
            </w:r>
          </w:p>
        </w:tc>
        <w:tc>
          <w:tcPr>
            <w:tcW w:w="3754" w:type="dxa"/>
            <w:tcBorders>
              <w:top w:val="single" w:sz="4" w:space="0" w:color="auto"/>
              <w:left w:val="single" w:sz="4" w:space="0" w:color="auto"/>
              <w:bottom w:val="nil"/>
              <w:right w:val="single" w:sz="4" w:space="0" w:color="auto"/>
            </w:tcBorders>
            <w:shd w:val="clear" w:color="000000" w:fill="99FF99"/>
            <w:vAlign w:val="center"/>
            <w:hideMark/>
          </w:tcPr>
          <w:p w14:paraId="6EDE34A4" w14:textId="77777777" w:rsidR="009E2D9F" w:rsidRPr="009E2D9F" w:rsidRDefault="009E2D9F" w:rsidP="009E2D9F">
            <w:pPr>
              <w:spacing w:after="24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Opslagplaatsen met een totale capaciteit op de site groter dan :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 xml:space="preserve">-          100 kg </w:t>
            </w:r>
            <w:proofErr w:type="spellStart"/>
            <w:r w:rsidRPr="009E2D9F">
              <w:rPr>
                <w:rFonts w:ascii="Arial" w:eastAsia="Times New Roman" w:hAnsi="Arial" w:cs="Arial"/>
                <w:sz w:val="16"/>
                <w:szCs w:val="16"/>
                <w:lang w:val="nl-BE" w:eastAsia="fr-BE"/>
              </w:rPr>
              <w:t>arseentrioxide</w:t>
            </w:r>
            <w:proofErr w:type="spellEnd"/>
            <w:r w:rsidRPr="009E2D9F">
              <w:rPr>
                <w:rFonts w:ascii="Arial" w:eastAsia="Times New Roman" w:hAnsi="Arial" w:cs="Arial"/>
                <w:sz w:val="16"/>
                <w:szCs w:val="16"/>
                <w:lang w:val="nl-BE" w:eastAsia="fr-BE"/>
              </w:rPr>
              <w:t>, arseen (III) zuur of de zouten daarvan</w:t>
            </w:r>
            <w:r w:rsidRPr="009E2D9F">
              <w:rPr>
                <w:rFonts w:ascii="Arial" w:eastAsia="Times New Roman" w:hAnsi="Arial" w:cs="Arial"/>
                <w:sz w:val="16"/>
                <w:szCs w:val="16"/>
                <w:lang w:val="nl-BE" w:eastAsia="fr-BE"/>
              </w:rPr>
              <w:br/>
              <w:t>-          10 kg poedervormige 4,4-methyleen-bis (2-chlooraniline) en/of de zouten daarvan</w:t>
            </w:r>
            <w:r w:rsidRPr="009E2D9F">
              <w:rPr>
                <w:rFonts w:ascii="Arial" w:eastAsia="Times New Roman" w:hAnsi="Arial" w:cs="Arial"/>
                <w:sz w:val="16"/>
                <w:szCs w:val="16"/>
                <w:lang w:val="nl-BE" w:eastAsia="fr-BE"/>
              </w:rPr>
              <w:br/>
              <w:t>-          150 kg methylisocyanaat</w:t>
            </w:r>
            <w:r w:rsidRPr="009E2D9F">
              <w:rPr>
                <w:rFonts w:ascii="Arial" w:eastAsia="Times New Roman" w:hAnsi="Arial" w:cs="Arial"/>
                <w:sz w:val="16"/>
                <w:szCs w:val="16"/>
                <w:lang w:val="nl-BE" w:eastAsia="fr-BE"/>
              </w:rPr>
              <w:br/>
              <w:t xml:space="preserve">-          300 kg </w:t>
            </w:r>
            <w:proofErr w:type="spellStart"/>
            <w:r w:rsidRPr="009E2D9F">
              <w:rPr>
                <w:rFonts w:ascii="Arial" w:eastAsia="Times New Roman" w:hAnsi="Arial" w:cs="Arial"/>
                <w:sz w:val="16"/>
                <w:szCs w:val="16"/>
                <w:lang w:val="nl-BE" w:eastAsia="fr-BE"/>
              </w:rPr>
              <w:t>kooloxychloride</w:t>
            </w:r>
            <w:proofErr w:type="spellEnd"/>
            <w:r w:rsidRPr="009E2D9F">
              <w:rPr>
                <w:rFonts w:ascii="Arial" w:eastAsia="Times New Roman" w:hAnsi="Arial" w:cs="Arial"/>
                <w:sz w:val="16"/>
                <w:szCs w:val="16"/>
                <w:lang w:val="nl-BE" w:eastAsia="fr-BE"/>
              </w:rPr>
              <w:t xml:space="preserve"> (fosgeen)</w:t>
            </w:r>
            <w:r w:rsidRPr="009E2D9F">
              <w:rPr>
                <w:rFonts w:ascii="Arial" w:eastAsia="Times New Roman" w:hAnsi="Arial" w:cs="Arial"/>
                <w:sz w:val="16"/>
                <w:szCs w:val="16"/>
                <w:lang w:val="nl-BE" w:eastAsia="fr-BE"/>
              </w:rPr>
              <w:br/>
              <w:t xml:space="preserve">-          200 kg </w:t>
            </w:r>
            <w:proofErr w:type="spellStart"/>
            <w:r w:rsidRPr="009E2D9F">
              <w:rPr>
                <w:rFonts w:ascii="Arial" w:eastAsia="Times New Roman" w:hAnsi="Arial" w:cs="Arial"/>
                <w:sz w:val="16"/>
                <w:szCs w:val="16"/>
                <w:lang w:val="nl-BE" w:eastAsia="fr-BE"/>
              </w:rPr>
              <w:t>arseentrihydride</w:t>
            </w:r>
            <w:proofErr w:type="spellEnd"/>
            <w:r w:rsidRPr="009E2D9F">
              <w:rPr>
                <w:rFonts w:ascii="Arial" w:eastAsia="Times New Roman" w:hAnsi="Arial" w:cs="Arial"/>
                <w:sz w:val="16"/>
                <w:szCs w:val="16"/>
                <w:lang w:val="nl-BE" w:eastAsia="fr-BE"/>
              </w:rPr>
              <w:t xml:space="preserve"> (arsine)</w:t>
            </w:r>
            <w:r w:rsidRPr="009E2D9F">
              <w:rPr>
                <w:rFonts w:ascii="Arial" w:eastAsia="Times New Roman" w:hAnsi="Arial" w:cs="Arial"/>
                <w:sz w:val="16"/>
                <w:szCs w:val="16"/>
                <w:lang w:val="nl-BE" w:eastAsia="fr-BE"/>
              </w:rPr>
              <w:br/>
              <w:t xml:space="preserve">-          200 kg </w:t>
            </w:r>
            <w:proofErr w:type="spellStart"/>
            <w:r w:rsidRPr="009E2D9F">
              <w:rPr>
                <w:rFonts w:ascii="Arial" w:eastAsia="Times New Roman" w:hAnsi="Arial" w:cs="Arial"/>
                <w:sz w:val="16"/>
                <w:szCs w:val="16"/>
                <w:lang w:val="nl-BE" w:eastAsia="fr-BE"/>
              </w:rPr>
              <w:t>fosfortrihydride</w:t>
            </w:r>
            <w:proofErr w:type="spellEnd"/>
            <w:r w:rsidRPr="009E2D9F">
              <w:rPr>
                <w:rFonts w:ascii="Arial" w:eastAsia="Times New Roman" w:hAnsi="Arial" w:cs="Arial"/>
                <w:sz w:val="16"/>
                <w:szCs w:val="16"/>
                <w:lang w:val="nl-BE" w:eastAsia="fr-BE"/>
              </w:rPr>
              <w:t xml:space="preserve"> (fosfine)</w:t>
            </w:r>
            <w:r w:rsidRPr="009E2D9F">
              <w:rPr>
                <w:rFonts w:ascii="Arial" w:eastAsia="Times New Roman" w:hAnsi="Arial" w:cs="Arial"/>
                <w:sz w:val="16"/>
                <w:szCs w:val="16"/>
                <w:lang w:val="nl-BE" w:eastAsia="fr-BE"/>
              </w:rPr>
              <w:br/>
              <w:t xml:space="preserve">-          1 kg </w:t>
            </w:r>
            <w:proofErr w:type="spellStart"/>
            <w:r w:rsidRPr="009E2D9F">
              <w:rPr>
                <w:rFonts w:ascii="Arial" w:eastAsia="Times New Roman" w:hAnsi="Arial" w:cs="Arial"/>
                <w:sz w:val="16"/>
                <w:szCs w:val="16"/>
                <w:lang w:val="nl-BE" w:eastAsia="fr-BE"/>
              </w:rPr>
              <w:t>polychloordiben-zofuranen</w:t>
            </w:r>
            <w:proofErr w:type="spellEnd"/>
            <w:r w:rsidRPr="009E2D9F">
              <w:rPr>
                <w:rFonts w:ascii="Arial" w:eastAsia="Times New Roman" w:hAnsi="Arial" w:cs="Arial"/>
                <w:sz w:val="16"/>
                <w:szCs w:val="16"/>
                <w:lang w:val="nl-BE" w:eastAsia="fr-BE"/>
              </w:rPr>
              <w:t xml:space="preserve"> en </w:t>
            </w:r>
            <w:proofErr w:type="spellStart"/>
            <w:r w:rsidRPr="009E2D9F">
              <w:rPr>
                <w:rFonts w:ascii="Arial" w:eastAsia="Times New Roman" w:hAnsi="Arial" w:cs="Arial"/>
                <w:sz w:val="16"/>
                <w:szCs w:val="16"/>
                <w:lang w:val="nl-BE" w:eastAsia="fr-BE"/>
              </w:rPr>
              <w:t>polychloordibenzodioxinen</w:t>
            </w:r>
            <w:proofErr w:type="spellEnd"/>
            <w:r w:rsidRPr="009E2D9F">
              <w:rPr>
                <w:rFonts w:ascii="Arial" w:eastAsia="Times New Roman" w:hAnsi="Arial" w:cs="Arial"/>
                <w:sz w:val="16"/>
                <w:szCs w:val="16"/>
                <w:lang w:val="nl-BE" w:eastAsia="fr-BE"/>
              </w:rPr>
              <w:t xml:space="preserve"> (met inbegrip van TCDD, uitgedrukt in TCDD-equivalent)</w:t>
            </w:r>
            <w:r w:rsidRPr="009E2D9F">
              <w:rPr>
                <w:rFonts w:ascii="Arial" w:eastAsia="Times New Roman" w:hAnsi="Arial" w:cs="Arial"/>
                <w:sz w:val="16"/>
                <w:szCs w:val="16"/>
                <w:lang w:val="nl-BE" w:eastAsia="fr-BE"/>
              </w:rPr>
              <w:br/>
              <w:t xml:space="preserve">-           1 kg van de volgende carcinogenen : 4-aminobifenyl en/of de zouten daarvan, </w:t>
            </w:r>
            <w:proofErr w:type="spellStart"/>
            <w:r w:rsidRPr="009E2D9F">
              <w:rPr>
                <w:rFonts w:ascii="Arial" w:eastAsia="Times New Roman" w:hAnsi="Arial" w:cs="Arial"/>
                <w:sz w:val="16"/>
                <w:szCs w:val="16"/>
                <w:lang w:val="nl-BE" w:eastAsia="fr-BE"/>
              </w:rPr>
              <w:t>benzidine</w:t>
            </w:r>
            <w:proofErr w:type="spellEnd"/>
            <w:r w:rsidRPr="009E2D9F">
              <w:rPr>
                <w:rFonts w:ascii="Arial" w:eastAsia="Times New Roman" w:hAnsi="Arial" w:cs="Arial"/>
                <w:sz w:val="16"/>
                <w:szCs w:val="16"/>
                <w:lang w:val="nl-BE" w:eastAsia="fr-BE"/>
              </w:rPr>
              <w:t xml:space="preserve"> en/of de zouten daarvan, di(chloormethyl)-ether, chloormethyleter en methyleter, </w:t>
            </w:r>
            <w:proofErr w:type="spellStart"/>
            <w:r w:rsidRPr="009E2D9F">
              <w:rPr>
                <w:rFonts w:ascii="Arial" w:eastAsia="Times New Roman" w:hAnsi="Arial" w:cs="Arial"/>
                <w:sz w:val="16"/>
                <w:szCs w:val="16"/>
                <w:lang w:val="nl-BE" w:eastAsia="fr-BE"/>
              </w:rPr>
              <w:t>dimethylcarbamoylchloride</w:t>
            </w:r>
            <w:proofErr w:type="spellEnd"/>
            <w:r w:rsidRPr="009E2D9F">
              <w:rPr>
                <w:rFonts w:ascii="Arial" w:eastAsia="Times New Roman" w:hAnsi="Arial" w:cs="Arial"/>
                <w:sz w:val="16"/>
                <w:szCs w:val="16"/>
                <w:lang w:val="nl-BE" w:eastAsia="fr-BE"/>
              </w:rPr>
              <w:t xml:space="preserve">, </w:t>
            </w:r>
            <w:proofErr w:type="spellStart"/>
            <w:r w:rsidRPr="009E2D9F">
              <w:rPr>
                <w:rFonts w:ascii="Arial" w:eastAsia="Times New Roman" w:hAnsi="Arial" w:cs="Arial"/>
                <w:sz w:val="16"/>
                <w:szCs w:val="16"/>
                <w:lang w:val="nl-BE" w:eastAsia="fr-BE"/>
              </w:rPr>
              <w:t>dimethylnitrosamine</w:t>
            </w:r>
            <w:proofErr w:type="spellEnd"/>
            <w:r w:rsidRPr="009E2D9F">
              <w:rPr>
                <w:rFonts w:ascii="Arial" w:eastAsia="Times New Roman" w:hAnsi="Arial" w:cs="Arial"/>
                <w:sz w:val="16"/>
                <w:szCs w:val="16"/>
                <w:lang w:val="nl-BE" w:eastAsia="fr-BE"/>
              </w:rPr>
              <w:t xml:space="preserve">, </w:t>
            </w:r>
            <w:proofErr w:type="spellStart"/>
            <w:r w:rsidRPr="009E2D9F">
              <w:rPr>
                <w:rFonts w:ascii="Arial" w:eastAsia="Times New Roman" w:hAnsi="Arial" w:cs="Arial"/>
                <w:sz w:val="16"/>
                <w:szCs w:val="16"/>
                <w:lang w:val="nl-BE" w:eastAsia="fr-BE"/>
              </w:rPr>
              <w:t>hexamethylfosforzuurtriamide</w:t>
            </w:r>
            <w:proofErr w:type="spellEnd"/>
            <w:r w:rsidRPr="009E2D9F">
              <w:rPr>
                <w:rFonts w:ascii="Arial" w:eastAsia="Times New Roman" w:hAnsi="Arial" w:cs="Arial"/>
                <w:sz w:val="16"/>
                <w:szCs w:val="16"/>
                <w:lang w:val="nl-BE" w:eastAsia="fr-BE"/>
              </w:rPr>
              <w:t xml:space="preserve"> 2-naftylamine en/of de zouten daarvan en 1,3-propaansultan 4-nitrodifenyl</w:t>
            </w:r>
          </w:p>
        </w:tc>
        <w:tc>
          <w:tcPr>
            <w:tcW w:w="567" w:type="dxa"/>
            <w:tcBorders>
              <w:top w:val="single" w:sz="4" w:space="0" w:color="auto"/>
              <w:left w:val="nil"/>
              <w:bottom w:val="nil"/>
              <w:right w:val="single" w:sz="4" w:space="0" w:color="auto"/>
            </w:tcBorders>
            <w:shd w:val="clear" w:color="000000" w:fill="99FF99"/>
            <w:vAlign w:val="center"/>
            <w:hideMark/>
          </w:tcPr>
          <w:p w14:paraId="5D967B13"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single" w:sz="4" w:space="0" w:color="auto"/>
              <w:left w:val="nil"/>
              <w:bottom w:val="nil"/>
              <w:right w:val="single" w:sz="4" w:space="0" w:color="auto"/>
            </w:tcBorders>
            <w:shd w:val="clear" w:color="000000" w:fill="CCFFCC"/>
            <w:vAlign w:val="center"/>
            <w:hideMark/>
          </w:tcPr>
          <w:p w14:paraId="70FC7FB6"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des activités à risque: les dépôts de produits qui sont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Ne sont pas considérés comme des activités à risque : les dépôts de produits non enterrés qui concernent que des conditionnements individuels fermés de maximum 30 litres ou 30 kg qui ne sont pas utilisés en lien avec une autre installation classée de l’unité technique et géographique.</w:t>
            </w:r>
          </w:p>
        </w:tc>
        <w:tc>
          <w:tcPr>
            <w:tcW w:w="2835" w:type="dxa"/>
            <w:tcBorders>
              <w:top w:val="nil"/>
              <w:left w:val="nil"/>
              <w:bottom w:val="nil"/>
              <w:right w:val="single" w:sz="8" w:space="0" w:color="auto"/>
            </w:tcBorders>
            <w:shd w:val="clear" w:color="000000" w:fill="CCFFCC"/>
            <w:vAlign w:val="center"/>
            <w:hideMark/>
          </w:tcPr>
          <w:p w14:paraId="21BC53F8"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de opslag van producten die volgens de CLP-verordening geklasseerd zijn als producten die een risico of een gevaar voor de gezondheid inhouden, anders dan corrosief en irriterend, of voor het leefmilieu, anders dan voor de ozonlaag*.</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Worden niet als risicoactiviteiten beschouwd : de niet-ondergrondse opslagen die betrekking hebben op afgesloten individuele verpakkingen van maximum 30 liter of 30 kg die niet gebruikt worden in verband met een andere ingedeelde inrichting van de technische en geografische eenheid.</w:t>
            </w:r>
          </w:p>
        </w:tc>
      </w:tr>
      <w:tr w:rsidR="009E2D9F" w:rsidRPr="003D427D" w14:paraId="10B399D2" w14:textId="77777777" w:rsidTr="00F63922">
        <w:trPr>
          <w:trHeight w:val="1359"/>
          <w:jc w:val="center"/>
        </w:trPr>
        <w:tc>
          <w:tcPr>
            <w:tcW w:w="0" w:type="auto"/>
            <w:tcBorders>
              <w:top w:val="single" w:sz="4" w:space="0" w:color="auto"/>
              <w:left w:val="single" w:sz="8" w:space="0" w:color="auto"/>
              <w:bottom w:val="single" w:sz="4" w:space="0" w:color="auto"/>
              <w:right w:val="single" w:sz="4" w:space="0" w:color="auto"/>
            </w:tcBorders>
            <w:shd w:val="clear" w:color="000000" w:fill="92D050"/>
            <w:vAlign w:val="center"/>
            <w:hideMark/>
          </w:tcPr>
          <w:p w14:paraId="5654A528" w14:textId="6C359D4D"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126 B</w:t>
            </w:r>
          </w:p>
        </w:tc>
        <w:tc>
          <w:tcPr>
            <w:tcW w:w="3756" w:type="dxa"/>
            <w:tcBorders>
              <w:top w:val="single" w:sz="4" w:space="0" w:color="auto"/>
              <w:left w:val="nil"/>
              <w:bottom w:val="single" w:sz="4" w:space="0" w:color="auto"/>
              <w:right w:val="nil"/>
            </w:tcBorders>
            <w:shd w:val="clear" w:color="000000" w:fill="99FF99"/>
            <w:vAlign w:val="center"/>
            <w:hideMark/>
          </w:tcPr>
          <w:p w14:paraId="224F24E3"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Ateliers pour la préparation, le conditionnement ou la formulation de produits pharmaceutiques ou de produits cosmétiques (à l'exclusion des pharmacies) avec une force motrice : supérieure à 20 kW </w:t>
            </w:r>
          </w:p>
        </w:tc>
        <w:tc>
          <w:tcPr>
            <w:tcW w:w="3754" w:type="dxa"/>
            <w:tcBorders>
              <w:top w:val="single" w:sz="4" w:space="0" w:color="auto"/>
              <w:left w:val="single" w:sz="4" w:space="0" w:color="auto"/>
              <w:bottom w:val="single" w:sz="4" w:space="0" w:color="auto"/>
              <w:right w:val="single" w:sz="4" w:space="0" w:color="auto"/>
            </w:tcBorders>
            <w:shd w:val="clear" w:color="000000" w:fill="99FF99"/>
            <w:vAlign w:val="center"/>
            <w:hideMark/>
          </w:tcPr>
          <w:p w14:paraId="5146E052"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Werkplaatsen voor de bereiding, het conditioneren of het </w:t>
            </w:r>
            <w:proofErr w:type="spellStart"/>
            <w:r w:rsidRPr="009E2D9F">
              <w:rPr>
                <w:rFonts w:ascii="Arial" w:eastAsia="Times New Roman" w:hAnsi="Arial" w:cs="Arial"/>
                <w:sz w:val="16"/>
                <w:szCs w:val="16"/>
                <w:lang w:val="nl-BE" w:eastAsia="fr-BE"/>
              </w:rPr>
              <w:t>formulerern</w:t>
            </w:r>
            <w:proofErr w:type="spellEnd"/>
            <w:r w:rsidRPr="009E2D9F">
              <w:rPr>
                <w:rFonts w:ascii="Arial" w:eastAsia="Times New Roman" w:hAnsi="Arial" w:cs="Arial"/>
                <w:sz w:val="16"/>
                <w:szCs w:val="16"/>
                <w:lang w:val="nl-BE" w:eastAsia="fr-BE"/>
              </w:rPr>
              <w:t xml:space="preserve"> van farmaceutische producten of cosmetica (met uitzondering van apotheken) met een drijfkracht: groter dan 20 kW </w:t>
            </w:r>
          </w:p>
        </w:tc>
        <w:tc>
          <w:tcPr>
            <w:tcW w:w="567" w:type="dxa"/>
            <w:tcBorders>
              <w:top w:val="single" w:sz="4" w:space="0" w:color="auto"/>
              <w:left w:val="nil"/>
              <w:bottom w:val="single" w:sz="4" w:space="0" w:color="auto"/>
              <w:right w:val="nil"/>
            </w:tcBorders>
            <w:shd w:val="clear" w:color="000000" w:fill="99FF99"/>
            <w:vAlign w:val="center"/>
            <w:hideMark/>
          </w:tcPr>
          <w:p w14:paraId="27188B0C"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739B1C5B"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des activités à risque: les installations avec force motrice supérieure à 20 kW utilisant des produits qui sont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tcBorders>
              <w:top w:val="single" w:sz="4" w:space="0" w:color="auto"/>
              <w:left w:val="nil"/>
              <w:bottom w:val="single" w:sz="4" w:space="0" w:color="auto"/>
              <w:right w:val="single" w:sz="8" w:space="0" w:color="auto"/>
            </w:tcBorders>
            <w:shd w:val="clear" w:color="000000" w:fill="CCFFCC"/>
            <w:vAlign w:val="center"/>
            <w:hideMark/>
          </w:tcPr>
          <w:p w14:paraId="209BB676"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de werkplaatsen voor de productie van cosmetica, met een drijfkracht groter dan 20kW en die producten die volgens de CLP-verordening geklasseerd zijn als producten die een risico of een gevaar voor de gezondheid inhouden, anders dan corrosief en irriterend, of voor het leefmilieu, anders dan voor de ozonlaag*</w:t>
            </w:r>
          </w:p>
        </w:tc>
      </w:tr>
      <w:tr w:rsidR="009E2D9F" w:rsidRPr="003D427D" w14:paraId="0531EF09" w14:textId="77777777" w:rsidTr="00F63922">
        <w:trPr>
          <w:trHeight w:val="1299"/>
          <w:jc w:val="center"/>
        </w:trPr>
        <w:tc>
          <w:tcPr>
            <w:tcW w:w="0" w:type="auto"/>
            <w:tcBorders>
              <w:top w:val="nil"/>
              <w:left w:val="single" w:sz="8" w:space="0" w:color="auto"/>
              <w:bottom w:val="nil"/>
              <w:right w:val="single" w:sz="4" w:space="0" w:color="auto"/>
            </w:tcBorders>
            <w:shd w:val="clear" w:color="000000" w:fill="92D050"/>
            <w:vAlign w:val="center"/>
            <w:hideMark/>
          </w:tcPr>
          <w:p w14:paraId="5520D5AB"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130</w:t>
            </w:r>
          </w:p>
        </w:tc>
        <w:tc>
          <w:tcPr>
            <w:tcW w:w="3756" w:type="dxa"/>
            <w:tcBorders>
              <w:top w:val="nil"/>
              <w:left w:val="nil"/>
              <w:bottom w:val="nil"/>
              <w:right w:val="nil"/>
            </w:tcBorders>
            <w:shd w:val="clear" w:color="000000" w:fill="99FF99"/>
            <w:vAlign w:val="center"/>
            <w:hideMark/>
          </w:tcPr>
          <w:p w14:paraId="2FD60243"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Installations industrielles non reprises à d'autres rubriques, pour la production, la transformation ou le traitement de produits chimiques  et intermédiaires organiques ou inorganiques. </w:t>
            </w:r>
          </w:p>
        </w:tc>
        <w:tc>
          <w:tcPr>
            <w:tcW w:w="3754" w:type="dxa"/>
            <w:tcBorders>
              <w:top w:val="single" w:sz="4" w:space="0" w:color="auto"/>
              <w:left w:val="single" w:sz="4" w:space="0" w:color="auto"/>
              <w:bottom w:val="nil"/>
              <w:right w:val="single" w:sz="4" w:space="0" w:color="auto"/>
            </w:tcBorders>
            <w:shd w:val="clear" w:color="000000" w:fill="99FF99"/>
            <w:vAlign w:val="center"/>
            <w:hideMark/>
          </w:tcPr>
          <w:p w14:paraId="40218800"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Niet in een andere rubriek vermelde industriële inrichtingen voor de productie, omzetting of verwerking van organische of anorganische chemische producten en tussenproducten.</w:t>
            </w:r>
          </w:p>
        </w:tc>
        <w:tc>
          <w:tcPr>
            <w:tcW w:w="567" w:type="dxa"/>
            <w:tcBorders>
              <w:top w:val="nil"/>
              <w:left w:val="nil"/>
              <w:bottom w:val="nil"/>
              <w:right w:val="nil"/>
            </w:tcBorders>
            <w:shd w:val="clear" w:color="000000" w:fill="99FF99"/>
            <w:vAlign w:val="center"/>
            <w:hideMark/>
          </w:tcPr>
          <w:p w14:paraId="616B42A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single" w:sz="4" w:space="0" w:color="auto"/>
              <w:left w:val="single" w:sz="4" w:space="0" w:color="auto"/>
              <w:bottom w:val="nil"/>
              <w:right w:val="single" w:sz="4" w:space="0" w:color="auto"/>
            </w:tcBorders>
            <w:shd w:val="clear" w:color="000000" w:fill="CCFFCC"/>
            <w:vAlign w:val="center"/>
            <w:hideMark/>
          </w:tcPr>
          <w:p w14:paraId="6AE9455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à risque les installations où sont </w:t>
            </w:r>
            <w:proofErr w:type="spellStart"/>
            <w:r w:rsidRPr="009E2D9F">
              <w:rPr>
                <w:rFonts w:ascii="Arial" w:eastAsia="Times New Roman" w:hAnsi="Arial" w:cs="Arial"/>
                <w:sz w:val="16"/>
                <w:szCs w:val="16"/>
                <w:lang w:eastAsia="fr-BE"/>
              </w:rPr>
              <w:t>utlisés</w:t>
            </w:r>
            <w:proofErr w:type="spellEnd"/>
            <w:r w:rsidRPr="009E2D9F">
              <w:rPr>
                <w:rFonts w:ascii="Arial" w:eastAsia="Times New Roman" w:hAnsi="Arial" w:cs="Arial"/>
                <w:sz w:val="16"/>
                <w:szCs w:val="16"/>
                <w:lang w:eastAsia="fr-BE"/>
              </w:rPr>
              <w:t xml:space="preserve"> des produits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tcBorders>
              <w:top w:val="nil"/>
              <w:left w:val="nil"/>
              <w:bottom w:val="nil"/>
              <w:right w:val="single" w:sz="8" w:space="0" w:color="auto"/>
            </w:tcBorders>
            <w:shd w:val="clear" w:color="000000" w:fill="CCFFCC"/>
            <w:vAlign w:val="center"/>
            <w:hideMark/>
          </w:tcPr>
          <w:p w14:paraId="1216867C"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uitsluitend als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w:t>
            </w:r>
            <w:proofErr w:type="spellStart"/>
            <w:r w:rsidRPr="009E2D9F">
              <w:rPr>
                <w:rFonts w:ascii="Arial" w:eastAsia="Times New Roman" w:hAnsi="Arial" w:cs="Arial"/>
                <w:sz w:val="16"/>
                <w:szCs w:val="16"/>
                <w:lang w:val="nl-BE" w:eastAsia="fr-BE"/>
              </w:rPr>
              <w:t>bechouwd</w:t>
            </w:r>
            <w:proofErr w:type="spellEnd"/>
            <w:r w:rsidRPr="009E2D9F">
              <w:rPr>
                <w:rFonts w:ascii="Arial" w:eastAsia="Times New Roman" w:hAnsi="Arial" w:cs="Arial"/>
                <w:sz w:val="16"/>
                <w:szCs w:val="16"/>
                <w:lang w:val="nl-BE" w:eastAsia="fr-BE"/>
              </w:rPr>
              <w:t xml:space="preserve">  de inrichtingen die gebruik maken van producten  die volgens de CLP-verordening geklasseerd zijn als producten die een risico of een gevaar voor de gezondheid inhouden, anders dan corrosief en irriterend, of voor het leefmilieu, anders dan voor de ozonlaag*.</w:t>
            </w:r>
          </w:p>
        </w:tc>
      </w:tr>
      <w:tr w:rsidR="009E2D9F" w:rsidRPr="003D427D" w14:paraId="44C41AEA" w14:textId="77777777" w:rsidTr="00F63922">
        <w:trPr>
          <w:trHeight w:val="1704"/>
          <w:jc w:val="center"/>
        </w:trPr>
        <w:tc>
          <w:tcPr>
            <w:tcW w:w="0" w:type="auto"/>
            <w:tcBorders>
              <w:top w:val="single" w:sz="4" w:space="0" w:color="auto"/>
              <w:left w:val="single" w:sz="8" w:space="0" w:color="auto"/>
              <w:bottom w:val="single" w:sz="4" w:space="0" w:color="auto"/>
              <w:right w:val="single" w:sz="4" w:space="0" w:color="auto"/>
            </w:tcBorders>
            <w:shd w:val="clear" w:color="000000" w:fill="92D050"/>
            <w:noWrap/>
            <w:vAlign w:val="center"/>
            <w:hideMark/>
          </w:tcPr>
          <w:p w14:paraId="67ABD148" w14:textId="407BD0B8"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138 B</w:t>
            </w:r>
          </w:p>
        </w:tc>
        <w:tc>
          <w:tcPr>
            <w:tcW w:w="3756" w:type="dxa"/>
            <w:tcBorders>
              <w:top w:val="single" w:sz="4" w:space="0" w:color="auto"/>
              <w:left w:val="nil"/>
              <w:bottom w:val="single" w:sz="4" w:space="0" w:color="auto"/>
              <w:right w:val="nil"/>
            </w:tcBorders>
            <w:shd w:val="clear" w:color="000000" w:fill="99FF99"/>
            <w:vAlign w:val="center"/>
            <w:hideMark/>
          </w:tcPr>
          <w:p w14:paraId="276267F1"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Ateliers pour l'application pneumatique de revêtement (à l'exception des bonbonnes d'aérosol)</w:t>
            </w:r>
          </w:p>
        </w:tc>
        <w:tc>
          <w:tcPr>
            <w:tcW w:w="3754" w:type="dxa"/>
            <w:tcBorders>
              <w:top w:val="single" w:sz="4" w:space="0" w:color="auto"/>
              <w:left w:val="single" w:sz="4" w:space="0" w:color="auto"/>
              <w:bottom w:val="single" w:sz="4" w:space="0" w:color="auto"/>
              <w:right w:val="single" w:sz="4" w:space="0" w:color="auto"/>
            </w:tcBorders>
            <w:shd w:val="clear" w:color="000000" w:fill="99FF99"/>
            <w:vAlign w:val="center"/>
            <w:hideMark/>
          </w:tcPr>
          <w:p w14:paraId="053A5B33"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Werkplaatsen voor het pneumatisch aanbrengen van bedekkingsmiddelen (met uitzondering van spuitbussen)</w:t>
            </w:r>
          </w:p>
        </w:tc>
        <w:tc>
          <w:tcPr>
            <w:tcW w:w="567" w:type="dxa"/>
            <w:tcBorders>
              <w:top w:val="single" w:sz="4" w:space="0" w:color="auto"/>
              <w:left w:val="nil"/>
              <w:bottom w:val="single" w:sz="4" w:space="0" w:color="auto"/>
              <w:right w:val="nil"/>
            </w:tcBorders>
            <w:shd w:val="clear" w:color="000000" w:fill="99FF99"/>
            <w:vAlign w:val="center"/>
            <w:hideMark/>
          </w:tcPr>
          <w:p w14:paraId="2AC9746B"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0D83EBE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des activités à risque: les installations utilisant des produits qui sont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tcBorders>
              <w:top w:val="single" w:sz="4" w:space="0" w:color="auto"/>
              <w:left w:val="nil"/>
              <w:bottom w:val="single" w:sz="4" w:space="0" w:color="auto"/>
              <w:right w:val="single" w:sz="8" w:space="0" w:color="auto"/>
            </w:tcBorders>
            <w:shd w:val="clear" w:color="000000" w:fill="CCFFCC"/>
            <w:vAlign w:val="center"/>
            <w:hideMark/>
          </w:tcPr>
          <w:p w14:paraId="18FD3417"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de inrichtingen die gebruik maken van producten die volgens de CLP-verordening geklasseerd zijn als producten die een risico of een gevaar voor de gezondheid inhouden, anders dan corrosief en irriterend, of voor het leefmilieu, anders dan voor de ozonlaag*.</w:t>
            </w:r>
          </w:p>
        </w:tc>
      </w:tr>
      <w:tr w:rsidR="009E2D9F" w:rsidRPr="003D427D" w14:paraId="7E6A5548" w14:textId="77777777" w:rsidTr="00F63922">
        <w:trPr>
          <w:trHeight w:val="118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32496491"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145</w:t>
            </w:r>
          </w:p>
        </w:tc>
        <w:tc>
          <w:tcPr>
            <w:tcW w:w="3756" w:type="dxa"/>
            <w:tcBorders>
              <w:top w:val="nil"/>
              <w:left w:val="nil"/>
              <w:bottom w:val="single" w:sz="4" w:space="0" w:color="auto"/>
              <w:right w:val="single" w:sz="4" w:space="0" w:color="auto"/>
            </w:tcBorders>
            <w:shd w:val="clear" w:color="000000" w:fill="99FF99"/>
            <w:vAlign w:val="center"/>
            <w:hideMark/>
          </w:tcPr>
          <w:p w14:paraId="5C3642FD"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Ateliers où l'on procède à la préparation, à l'achèvement ou au traitement chimique des textiles (blanchiment, mercerisation, teinture, impression, imprégnation, ...)</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28B4D8BA"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Werkplaatsen voor het voorbehandelen, afwerken of chemisch bewerken van textiel (bleken, merceriseren, verven, bedrukken, impregneren...)</w:t>
            </w:r>
          </w:p>
        </w:tc>
        <w:tc>
          <w:tcPr>
            <w:tcW w:w="567" w:type="dxa"/>
            <w:tcBorders>
              <w:top w:val="single" w:sz="4" w:space="0" w:color="auto"/>
              <w:left w:val="nil"/>
              <w:bottom w:val="single" w:sz="4" w:space="0" w:color="auto"/>
              <w:right w:val="single" w:sz="4" w:space="0" w:color="auto"/>
            </w:tcBorders>
            <w:shd w:val="clear" w:color="000000" w:fill="99FF99"/>
            <w:vAlign w:val="center"/>
            <w:hideMark/>
          </w:tcPr>
          <w:p w14:paraId="3CEB11DD"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21193144"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des activités à risque: les installations utilisant des produits qui sont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tcBorders>
              <w:top w:val="nil"/>
              <w:left w:val="nil"/>
              <w:bottom w:val="single" w:sz="4" w:space="0" w:color="auto"/>
              <w:right w:val="single" w:sz="8" w:space="0" w:color="auto"/>
            </w:tcBorders>
            <w:shd w:val="clear" w:color="000000" w:fill="CCFFCC"/>
            <w:vAlign w:val="center"/>
            <w:hideMark/>
          </w:tcPr>
          <w:p w14:paraId="5E83B958"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uitsluitend als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beschouwd: de inrichtingen die gebruik maken van producten die volgens de CLP-verordening geklasseerd zijn als producten die een risico of een gevaar voor de gezondheid inhouden, anders dan corrosief en irriterend, of voor het leefmilieu, anders dan voor de ozonlaag*.</w:t>
            </w:r>
          </w:p>
        </w:tc>
      </w:tr>
      <w:tr w:rsidR="009E2D9F" w:rsidRPr="003D427D" w14:paraId="7DD8B843" w14:textId="77777777" w:rsidTr="00D63286">
        <w:trPr>
          <w:trHeight w:val="1398"/>
          <w:jc w:val="center"/>
        </w:trPr>
        <w:tc>
          <w:tcPr>
            <w:tcW w:w="0" w:type="auto"/>
            <w:tcBorders>
              <w:top w:val="nil"/>
              <w:left w:val="single" w:sz="8" w:space="0" w:color="auto"/>
              <w:bottom w:val="single" w:sz="4" w:space="0" w:color="auto"/>
              <w:right w:val="single" w:sz="4" w:space="0" w:color="auto"/>
            </w:tcBorders>
            <w:shd w:val="clear" w:color="000000" w:fill="92D050"/>
            <w:noWrap/>
            <w:vAlign w:val="center"/>
            <w:hideMark/>
          </w:tcPr>
          <w:p w14:paraId="5056B613" w14:textId="3387AD08"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151 A</w:t>
            </w:r>
          </w:p>
        </w:tc>
        <w:tc>
          <w:tcPr>
            <w:tcW w:w="3756" w:type="dxa"/>
            <w:tcBorders>
              <w:top w:val="nil"/>
              <w:left w:val="nil"/>
              <w:bottom w:val="single" w:sz="4" w:space="0" w:color="auto"/>
              <w:right w:val="nil"/>
            </w:tcBorders>
            <w:shd w:val="clear" w:color="000000" w:fill="99FF99"/>
            <w:vAlign w:val="center"/>
            <w:hideMark/>
          </w:tcPr>
          <w:p w14:paraId="2562EA37"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Salles d'exposition, dépôts couverts ou non de véhicules à moteur usagés et hors d'usage (motos, voitures, camionnettes, camions, bus, …) à l'exclusion des parkings couverts ou non, comptant: de 3 à 50 emplacements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EC0152C"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Tentoonstellingsruimten, al dan niet overdekte opslagplaatsen voor gebruikte en afgedankte </w:t>
            </w:r>
            <w:proofErr w:type="spellStart"/>
            <w:r w:rsidRPr="009E2D9F">
              <w:rPr>
                <w:rFonts w:ascii="Arial" w:eastAsia="Times New Roman" w:hAnsi="Arial" w:cs="Arial"/>
                <w:sz w:val="16"/>
                <w:szCs w:val="16"/>
                <w:lang w:val="nl-BE" w:eastAsia="fr-BE"/>
              </w:rPr>
              <w:t>mototvoertuigen</w:t>
            </w:r>
            <w:proofErr w:type="spellEnd"/>
            <w:r w:rsidRPr="009E2D9F">
              <w:rPr>
                <w:rFonts w:ascii="Arial" w:eastAsia="Times New Roman" w:hAnsi="Arial" w:cs="Arial"/>
                <w:sz w:val="16"/>
                <w:szCs w:val="16"/>
                <w:lang w:val="nl-BE" w:eastAsia="fr-BE"/>
              </w:rPr>
              <w:t xml:space="preserve"> (motorfietsen, personenwagens, bestelwagens, vrachtwagens, autobussen, …) met uitzondering van al dan niet overdekte parkeerterreinen met: 3 tot 50 parkeerplaatsen</w:t>
            </w:r>
          </w:p>
        </w:tc>
        <w:tc>
          <w:tcPr>
            <w:tcW w:w="567" w:type="dxa"/>
            <w:tcBorders>
              <w:top w:val="single" w:sz="4" w:space="0" w:color="auto"/>
              <w:left w:val="nil"/>
              <w:bottom w:val="single" w:sz="4" w:space="0" w:color="auto"/>
              <w:right w:val="nil"/>
            </w:tcBorders>
            <w:shd w:val="clear" w:color="000000" w:fill="99FF99"/>
            <w:vAlign w:val="center"/>
            <w:hideMark/>
          </w:tcPr>
          <w:p w14:paraId="09F926FC"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36593789"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exclusivement considérés comme des activités à risque: les dépôts de véhicules techniquement hors d'usage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17B46022"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de opslagplaatsen voor technisch afgedankte voertuigen</w:t>
            </w:r>
          </w:p>
        </w:tc>
      </w:tr>
      <w:tr w:rsidR="009E2D9F" w:rsidRPr="003D427D" w14:paraId="6844B169" w14:textId="77777777" w:rsidTr="00D63286">
        <w:trPr>
          <w:trHeight w:val="1546"/>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7E21E037" w14:textId="356EA30A"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151 B</w:t>
            </w:r>
          </w:p>
        </w:tc>
        <w:tc>
          <w:tcPr>
            <w:tcW w:w="3756" w:type="dxa"/>
            <w:tcBorders>
              <w:top w:val="nil"/>
              <w:left w:val="nil"/>
              <w:bottom w:val="single" w:sz="4" w:space="0" w:color="auto"/>
              <w:right w:val="nil"/>
            </w:tcBorders>
            <w:shd w:val="clear" w:color="000000" w:fill="99FF99"/>
            <w:vAlign w:val="center"/>
            <w:hideMark/>
          </w:tcPr>
          <w:p w14:paraId="44DE387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Salles d'exposition, dépôts couverts ou non de véhicules à moteur usagés et hors d'usage (motos, voitures, camionnettes, camions, bus, …) à l'exclusion des parkings couverts ou non, comptant: plus de 50 emplacements</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1C2969FA"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Tentoonstellingsruimten, al dan niet overdekte opslagplaatsen voor gebruikte en afgedankte </w:t>
            </w:r>
            <w:proofErr w:type="spellStart"/>
            <w:r w:rsidRPr="009E2D9F">
              <w:rPr>
                <w:rFonts w:ascii="Arial" w:eastAsia="Times New Roman" w:hAnsi="Arial" w:cs="Arial"/>
                <w:sz w:val="16"/>
                <w:szCs w:val="16"/>
                <w:lang w:val="nl-BE" w:eastAsia="fr-BE"/>
              </w:rPr>
              <w:t>mototvoertuigen</w:t>
            </w:r>
            <w:proofErr w:type="spellEnd"/>
            <w:r w:rsidRPr="009E2D9F">
              <w:rPr>
                <w:rFonts w:ascii="Arial" w:eastAsia="Times New Roman" w:hAnsi="Arial" w:cs="Arial"/>
                <w:sz w:val="16"/>
                <w:szCs w:val="16"/>
                <w:lang w:val="nl-BE" w:eastAsia="fr-BE"/>
              </w:rPr>
              <w:t xml:space="preserve"> (motorfietsen, personenwagens, bestelwagens, vrachtwagens, autobussen, …) met uitzondering van al dan niet overdekte parkeerterreinen met: meer dan 50 parkeerplaatsen</w:t>
            </w:r>
          </w:p>
        </w:tc>
        <w:tc>
          <w:tcPr>
            <w:tcW w:w="567" w:type="dxa"/>
            <w:tcBorders>
              <w:top w:val="nil"/>
              <w:left w:val="nil"/>
              <w:bottom w:val="single" w:sz="4" w:space="0" w:color="auto"/>
              <w:right w:val="nil"/>
            </w:tcBorders>
            <w:shd w:val="clear" w:color="000000" w:fill="99FF99"/>
            <w:vAlign w:val="center"/>
            <w:hideMark/>
          </w:tcPr>
          <w:p w14:paraId="7BD3647F"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77C363AE"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Sont exclusivement considérés comme des activités à risque: les dépôts de véhicules techniquement hors d'usage</w:t>
            </w:r>
          </w:p>
        </w:tc>
        <w:tc>
          <w:tcPr>
            <w:tcW w:w="2835" w:type="dxa"/>
            <w:tcBorders>
              <w:top w:val="nil"/>
              <w:left w:val="single" w:sz="4" w:space="0" w:color="auto"/>
              <w:bottom w:val="single" w:sz="4" w:space="0" w:color="auto"/>
              <w:right w:val="single" w:sz="8" w:space="0" w:color="auto"/>
            </w:tcBorders>
            <w:shd w:val="clear" w:color="000000" w:fill="CCFFCC"/>
            <w:vAlign w:val="center"/>
            <w:hideMark/>
          </w:tcPr>
          <w:p w14:paraId="1DD3FAAE"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Worden uitsluitend als risicoactiviteiten beschouwd: de opslagplaatsen voor technisch afgedankte voertuigen</w:t>
            </w:r>
          </w:p>
        </w:tc>
      </w:tr>
      <w:tr w:rsidR="009E2D9F" w:rsidRPr="003D427D" w14:paraId="2EF38466" w14:textId="77777777" w:rsidTr="00F63922">
        <w:trPr>
          <w:trHeight w:val="1164"/>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2E56FEEF" w14:textId="4C33EC7F"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155 A</w:t>
            </w:r>
          </w:p>
        </w:tc>
        <w:tc>
          <w:tcPr>
            <w:tcW w:w="3756" w:type="dxa"/>
            <w:tcBorders>
              <w:top w:val="nil"/>
              <w:left w:val="nil"/>
              <w:bottom w:val="single" w:sz="4" w:space="0" w:color="auto"/>
              <w:right w:val="nil"/>
            </w:tcBorders>
            <w:shd w:val="clear" w:color="000000" w:fill="99FF99"/>
            <w:vAlign w:val="center"/>
            <w:hideMark/>
          </w:tcPr>
          <w:p w14:paraId="503D19F3"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Ateliers pour la production de vernis, laques, peintures, colles, encres d'imprimerie et/ou pigment dont la force motrice est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a) inférieure ou égale à 20 kW</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3196627"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Werkplaatsen voor de productie van vernis, lak, verf, lijmen, drukinkt en/of pigmenten, met een drijfkracht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a) kleiner dan of gelijk aan 20 kW</w:t>
            </w:r>
          </w:p>
        </w:tc>
        <w:tc>
          <w:tcPr>
            <w:tcW w:w="567" w:type="dxa"/>
            <w:tcBorders>
              <w:top w:val="nil"/>
              <w:left w:val="nil"/>
              <w:bottom w:val="single" w:sz="4" w:space="0" w:color="auto"/>
              <w:right w:val="nil"/>
            </w:tcBorders>
            <w:shd w:val="clear" w:color="000000" w:fill="99FF99"/>
            <w:vAlign w:val="center"/>
            <w:hideMark/>
          </w:tcPr>
          <w:p w14:paraId="1070CF12"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2</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52C4A467"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des activités à risque: les installations utilisant des produits qui sont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tcBorders>
              <w:top w:val="nil"/>
              <w:left w:val="nil"/>
              <w:bottom w:val="single" w:sz="4" w:space="0" w:color="auto"/>
              <w:right w:val="single" w:sz="8" w:space="0" w:color="auto"/>
            </w:tcBorders>
            <w:shd w:val="clear" w:color="000000" w:fill="CCFFCC"/>
            <w:vAlign w:val="center"/>
            <w:hideMark/>
          </w:tcPr>
          <w:p w14:paraId="5CE3EC77"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uitsluitend als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beschouwd de inrichtingen die gebruik maken van producten die volgens de CLP-verordening geklasseerd zijn als producten die een risico of een gevaar voor de gezondheid inhouden, anders dan corrosief en irriterend, of voor het leefmilieu, anders dan voor de ozonlaag*.</w:t>
            </w:r>
          </w:p>
        </w:tc>
      </w:tr>
      <w:tr w:rsidR="009E2D9F" w:rsidRPr="003D427D" w14:paraId="6961B269" w14:textId="77777777" w:rsidTr="00F63922">
        <w:trPr>
          <w:trHeight w:val="1164"/>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4F2AF780" w14:textId="6ED155A1"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lastRenderedPageBreak/>
              <w:t>155 B</w:t>
            </w:r>
          </w:p>
        </w:tc>
        <w:tc>
          <w:tcPr>
            <w:tcW w:w="3756" w:type="dxa"/>
            <w:tcBorders>
              <w:top w:val="nil"/>
              <w:left w:val="nil"/>
              <w:bottom w:val="single" w:sz="4" w:space="0" w:color="auto"/>
              <w:right w:val="nil"/>
            </w:tcBorders>
            <w:shd w:val="clear" w:color="000000" w:fill="99FF99"/>
            <w:vAlign w:val="center"/>
            <w:hideMark/>
          </w:tcPr>
          <w:p w14:paraId="5F2C477C"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Ateliers pour la production de vernis, laques, peintures, colles, encres d'imprimerie et/ou pigment dont la force motrice est :</w:t>
            </w:r>
            <w:r w:rsidRPr="009E2D9F">
              <w:rPr>
                <w:rFonts w:ascii="Arial" w:eastAsia="Times New Roman" w:hAnsi="Arial" w:cs="Arial"/>
                <w:sz w:val="16"/>
                <w:szCs w:val="16"/>
                <w:lang w:eastAsia="fr-BE"/>
              </w:rPr>
              <w:br/>
            </w:r>
            <w:r w:rsidRPr="009E2D9F">
              <w:rPr>
                <w:rFonts w:ascii="Arial" w:eastAsia="Times New Roman" w:hAnsi="Arial" w:cs="Arial"/>
                <w:sz w:val="16"/>
                <w:szCs w:val="16"/>
                <w:lang w:eastAsia="fr-BE"/>
              </w:rPr>
              <w:br/>
              <w:t xml:space="preserve">b) inférieure ou </w:t>
            </w:r>
            <w:proofErr w:type="spellStart"/>
            <w:r w:rsidRPr="009E2D9F">
              <w:rPr>
                <w:rFonts w:ascii="Arial" w:eastAsia="Times New Roman" w:hAnsi="Arial" w:cs="Arial"/>
                <w:sz w:val="16"/>
                <w:szCs w:val="16"/>
                <w:lang w:eastAsia="fr-BE"/>
              </w:rPr>
              <w:t>égalsupérieure</w:t>
            </w:r>
            <w:proofErr w:type="spellEnd"/>
            <w:r w:rsidRPr="009E2D9F">
              <w:rPr>
                <w:rFonts w:ascii="Arial" w:eastAsia="Times New Roman" w:hAnsi="Arial" w:cs="Arial"/>
                <w:sz w:val="16"/>
                <w:szCs w:val="16"/>
                <w:lang w:eastAsia="fr-BE"/>
              </w:rPr>
              <w:t xml:space="preserve"> à 20 kW</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40BF511D"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Werkplaatsen voor de productie van vernis, lak, verf, drukinkt en/of pigmenten, met een drijfkracht :</w:t>
            </w:r>
            <w:r w:rsidRPr="009E2D9F">
              <w:rPr>
                <w:rFonts w:ascii="Arial" w:eastAsia="Times New Roman" w:hAnsi="Arial" w:cs="Arial"/>
                <w:sz w:val="16"/>
                <w:szCs w:val="16"/>
                <w:lang w:val="nl-BE" w:eastAsia="fr-BE"/>
              </w:rPr>
              <w:br/>
            </w:r>
            <w:r w:rsidRPr="009E2D9F">
              <w:rPr>
                <w:rFonts w:ascii="Arial" w:eastAsia="Times New Roman" w:hAnsi="Arial" w:cs="Arial"/>
                <w:sz w:val="16"/>
                <w:szCs w:val="16"/>
                <w:lang w:val="nl-BE" w:eastAsia="fr-BE"/>
              </w:rPr>
              <w:br/>
              <w:t>b) groter dan 20 kW</w:t>
            </w:r>
          </w:p>
        </w:tc>
        <w:tc>
          <w:tcPr>
            <w:tcW w:w="567" w:type="dxa"/>
            <w:tcBorders>
              <w:top w:val="nil"/>
              <w:left w:val="nil"/>
              <w:bottom w:val="single" w:sz="4" w:space="0" w:color="auto"/>
              <w:right w:val="nil"/>
            </w:tcBorders>
            <w:shd w:val="clear" w:color="000000" w:fill="99FF99"/>
            <w:vAlign w:val="center"/>
            <w:hideMark/>
          </w:tcPr>
          <w:p w14:paraId="0697A30D"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single" w:sz="4" w:space="0" w:color="auto"/>
              <w:bottom w:val="single" w:sz="4" w:space="0" w:color="auto"/>
              <w:right w:val="single" w:sz="4" w:space="0" w:color="auto"/>
            </w:tcBorders>
            <w:shd w:val="clear" w:color="000000" w:fill="CCFFCC"/>
            <w:vAlign w:val="center"/>
            <w:hideMark/>
          </w:tcPr>
          <w:p w14:paraId="0256D137"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Sont exclusivement considérés comme des activités à risque: les installations utilisant des produits qui sont classés selon le </w:t>
            </w:r>
            <w:proofErr w:type="spellStart"/>
            <w:r w:rsidRPr="009E2D9F">
              <w:rPr>
                <w:rFonts w:ascii="Arial" w:eastAsia="Times New Roman" w:hAnsi="Arial" w:cs="Arial"/>
                <w:sz w:val="16"/>
                <w:szCs w:val="16"/>
                <w:lang w:eastAsia="fr-BE"/>
              </w:rPr>
              <w:t>réglement</w:t>
            </w:r>
            <w:proofErr w:type="spellEnd"/>
            <w:r w:rsidRPr="009E2D9F">
              <w:rPr>
                <w:rFonts w:ascii="Arial" w:eastAsia="Times New Roman" w:hAnsi="Arial" w:cs="Arial"/>
                <w:sz w:val="16"/>
                <w:szCs w:val="16"/>
                <w:lang w:eastAsia="fr-BE"/>
              </w:rPr>
              <w:t xml:space="preserve"> CLP comme présentant un risque ou un danger envers la santé autre que corrosif et irritant, ou envers l'environnement autre que pour la couche d'ozone*</w:t>
            </w:r>
          </w:p>
        </w:tc>
        <w:tc>
          <w:tcPr>
            <w:tcW w:w="2835" w:type="dxa"/>
            <w:tcBorders>
              <w:top w:val="nil"/>
              <w:left w:val="nil"/>
              <w:bottom w:val="single" w:sz="4" w:space="0" w:color="auto"/>
              <w:right w:val="single" w:sz="8" w:space="0" w:color="auto"/>
            </w:tcBorders>
            <w:shd w:val="clear" w:color="000000" w:fill="CCFFCC"/>
            <w:vAlign w:val="center"/>
            <w:hideMark/>
          </w:tcPr>
          <w:p w14:paraId="57A4D3E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 xml:space="preserve">Worden uitsluitend als </w:t>
            </w:r>
            <w:proofErr w:type="spellStart"/>
            <w:r w:rsidRPr="009E2D9F">
              <w:rPr>
                <w:rFonts w:ascii="Arial" w:eastAsia="Times New Roman" w:hAnsi="Arial" w:cs="Arial"/>
                <w:sz w:val="16"/>
                <w:szCs w:val="16"/>
                <w:lang w:val="nl-BE" w:eastAsia="fr-BE"/>
              </w:rPr>
              <w:t>risicohoudend</w:t>
            </w:r>
            <w:proofErr w:type="spellEnd"/>
            <w:r w:rsidRPr="009E2D9F">
              <w:rPr>
                <w:rFonts w:ascii="Arial" w:eastAsia="Times New Roman" w:hAnsi="Arial" w:cs="Arial"/>
                <w:sz w:val="16"/>
                <w:szCs w:val="16"/>
                <w:lang w:val="nl-BE" w:eastAsia="fr-BE"/>
              </w:rPr>
              <w:t xml:space="preserve"> beschouwd de inrichtingen die gebruik maken van producten die volgens de CLP-verordening geklasseerd zijn als producten die een risico of een gevaar voor de gezondheid inhouden, anders dan corrosief en irriterend, of voor het leefmilieu, anders dan voor de ozonlaag*.</w:t>
            </w:r>
          </w:p>
        </w:tc>
      </w:tr>
      <w:tr w:rsidR="009E2D9F" w:rsidRPr="009E2D9F" w14:paraId="15382C2B" w14:textId="77777777" w:rsidTr="00F63922">
        <w:trPr>
          <w:trHeight w:val="40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64065C28"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157</w:t>
            </w:r>
          </w:p>
        </w:tc>
        <w:tc>
          <w:tcPr>
            <w:tcW w:w="3756" w:type="dxa"/>
            <w:tcBorders>
              <w:top w:val="nil"/>
              <w:left w:val="nil"/>
              <w:bottom w:val="single" w:sz="4" w:space="0" w:color="auto"/>
              <w:right w:val="single" w:sz="4" w:space="0" w:color="auto"/>
            </w:tcBorders>
            <w:shd w:val="clear" w:color="000000" w:fill="99FF99"/>
            <w:vAlign w:val="center"/>
            <w:hideMark/>
          </w:tcPr>
          <w:p w14:paraId="1C695CA0"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xml:space="preserve">Verreries et cristalleries, fabrication des glaces, de fibres de verre, laine de verre, fibres minérales autres, etc. </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111327C4" w14:textId="77777777" w:rsidR="009E2D9F" w:rsidRPr="009E2D9F" w:rsidRDefault="009E2D9F" w:rsidP="009E2D9F">
            <w:pPr>
              <w:spacing w:after="0" w:line="240" w:lineRule="auto"/>
              <w:rPr>
                <w:rFonts w:ascii="Arial" w:eastAsia="Times New Roman" w:hAnsi="Arial" w:cs="Arial"/>
                <w:sz w:val="16"/>
                <w:szCs w:val="16"/>
                <w:lang w:val="nl-BE" w:eastAsia="fr-BE"/>
              </w:rPr>
            </w:pPr>
            <w:r w:rsidRPr="009E2D9F">
              <w:rPr>
                <w:rFonts w:ascii="Arial" w:eastAsia="Times New Roman" w:hAnsi="Arial" w:cs="Arial"/>
                <w:sz w:val="16"/>
                <w:szCs w:val="16"/>
                <w:lang w:val="nl-BE" w:eastAsia="fr-BE"/>
              </w:rPr>
              <w:t>Glasblazerijen en kristalfabrieken, fabricage van spiegelglas, van glasvezels, glaswol, andere minerale vezels, enz.</w:t>
            </w:r>
          </w:p>
        </w:tc>
        <w:tc>
          <w:tcPr>
            <w:tcW w:w="567" w:type="dxa"/>
            <w:tcBorders>
              <w:top w:val="single" w:sz="4" w:space="0" w:color="auto"/>
              <w:left w:val="nil"/>
              <w:bottom w:val="single" w:sz="4" w:space="0" w:color="auto"/>
              <w:right w:val="single" w:sz="4" w:space="0" w:color="auto"/>
            </w:tcBorders>
            <w:shd w:val="clear" w:color="000000" w:fill="99FF99"/>
            <w:vAlign w:val="center"/>
            <w:hideMark/>
          </w:tcPr>
          <w:p w14:paraId="26E9422D"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5D9C861F"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58D241EE"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9E2D9F" w14:paraId="55D99647" w14:textId="77777777" w:rsidTr="00F63922">
        <w:trPr>
          <w:trHeight w:val="288"/>
          <w:jc w:val="center"/>
        </w:trPr>
        <w:tc>
          <w:tcPr>
            <w:tcW w:w="0" w:type="auto"/>
            <w:tcBorders>
              <w:top w:val="nil"/>
              <w:left w:val="single" w:sz="8" w:space="0" w:color="auto"/>
              <w:bottom w:val="single" w:sz="4" w:space="0" w:color="auto"/>
              <w:right w:val="single" w:sz="4" w:space="0" w:color="auto"/>
            </w:tcBorders>
            <w:shd w:val="clear" w:color="000000" w:fill="92D050"/>
            <w:vAlign w:val="center"/>
            <w:hideMark/>
          </w:tcPr>
          <w:p w14:paraId="270325E5" w14:textId="77777777" w:rsidR="009E2D9F" w:rsidRPr="009E2D9F" w:rsidRDefault="009E2D9F" w:rsidP="009E2D9F">
            <w:pPr>
              <w:spacing w:after="0" w:line="240" w:lineRule="auto"/>
              <w:jc w:val="center"/>
              <w:rPr>
                <w:rFonts w:ascii="Arial" w:eastAsia="Times New Roman" w:hAnsi="Arial" w:cs="Arial"/>
                <w:b/>
                <w:bCs/>
                <w:sz w:val="16"/>
                <w:szCs w:val="16"/>
                <w:lang w:eastAsia="fr-BE"/>
              </w:rPr>
            </w:pPr>
            <w:r w:rsidRPr="009E2D9F">
              <w:rPr>
                <w:rFonts w:ascii="Arial" w:eastAsia="Times New Roman" w:hAnsi="Arial" w:cs="Arial"/>
                <w:b/>
                <w:bCs/>
                <w:sz w:val="16"/>
                <w:szCs w:val="16"/>
                <w:lang w:eastAsia="fr-BE"/>
              </w:rPr>
              <w:t>161</w:t>
            </w:r>
          </w:p>
        </w:tc>
        <w:tc>
          <w:tcPr>
            <w:tcW w:w="3756" w:type="dxa"/>
            <w:tcBorders>
              <w:top w:val="nil"/>
              <w:left w:val="nil"/>
              <w:bottom w:val="single" w:sz="4" w:space="0" w:color="auto"/>
              <w:right w:val="single" w:sz="4" w:space="0" w:color="auto"/>
            </w:tcBorders>
            <w:shd w:val="clear" w:color="000000" w:fill="99FF99"/>
            <w:vAlign w:val="center"/>
            <w:hideMark/>
          </w:tcPr>
          <w:p w14:paraId="06FA7782"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Centre de dépollution de véhicules hors d’usage</w:t>
            </w:r>
          </w:p>
        </w:tc>
        <w:tc>
          <w:tcPr>
            <w:tcW w:w="3754" w:type="dxa"/>
            <w:tcBorders>
              <w:top w:val="nil"/>
              <w:left w:val="single" w:sz="4" w:space="0" w:color="auto"/>
              <w:bottom w:val="single" w:sz="4" w:space="0" w:color="auto"/>
              <w:right w:val="single" w:sz="4" w:space="0" w:color="auto"/>
            </w:tcBorders>
            <w:shd w:val="clear" w:color="000000" w:fill="99FF99"/>
            <w:vAlign w:val="center"/>
            <w:hideMark/>
          </w:tcPr>
          <w:p w14:paraId="51C77611" w14:textId="77777777" w:rsidR="009E2D9F" w:rsidRPr="009E2D9F" w:rsidRDefault="009E2D9F" w:rsidP="009E2D9F">
            <w:pPr>
              <w:spacing w:after="0" w:line="240" w:lineRule="auto"/>
              <w:rPr>
                <w:rFonts w:ascii="Arial" w:eastAsia="Times New Roman" w:hAnsi="Arial" w:cs="Arial"/>
                <w:sz w:val="16"/>
                <w:szCs w:val="16"/>
                <w:lang w:eastAsia="fr-BE"/>
              </w:rPr>
            </w:pPr>
            <w:proofErr w:type="spellStart"/>
            <w:r w:rsidRPr="009E2D9F">
              <w:rPr>
                <w:rFonts w:ascii="Arial" w:eastAsia="Times New Roman" w:hAnsi="Arial" w:cs="Arial"/>
                <w:sz w:val="16"/>
                <w:szCs w:val="16"/>
                <w:lang w:eastAsia="fr-BE"/>
              </w:rPr>
              <w:t>Depollutiecentrum</w:t>
            </w:r>
            <w:proofErr w:type="spellEnd"/>
            <w:r w:rsidRPr="009E2D9F">
              <w:rPr>
                <w:rFonts w:ascii="Arial" w:eastAsia="Times New Roman" w:hAnsi="Arial" w:cs="Arial"/>
                <w:sz w:val="16"/>
                <w:szCs w:val="16"/>
                <w:lang w:eastAsia="fr-BE"/>
              </w:rPr>
              <w:t xml:space="preserve"> </w:t>
            </w:r>
            <w:proofErr w:type="spellStart"/>
            <w:r w:rsidRPr="009E2D9F">
              <w:rPr>
                <w:rFonts w:ascii="Arial" w:eastAsia="Times New Roman" w:hAnsi="Arial" w:cs="Arial"/>
                <w:sz w:val="16"/>
                <w:szCs w:val="16"/>
                <w:lang w:eastAsia="fr-BE"/>
              </w:rPr>
              <w:t>voor</w:t>
            </w:r>
            <w:proofErr w:type="spellEnd"/>
            <w:r w:rsidRPr="009E2D9F">
              <w:rPr>
                <w:rFonts w:ascii="Arial" w:eastAsia="Times New Roman" w:hAnsi="Arial" w:cs="Arial"/>
                <w:sz w:val="16"/>
                <w:szCs w:val="16"/>
                <w:lang w:eastAsia="fr-BE"/>
              </w:rPr>
              <w:t xml:space="preserve"> </w:t>
            </w:r>
            <w:proofErr w:type="spellStart"/>
            <w:r w:rsidRPr="009E2D9F">
              <w:rPr>
                <w:rFonts w:ascii="Arial" w:eastAsia="Times New Roman" w:hAnsi="Arial" w:cs="Arial"/>
                <w:sz w:val="16"/>
                <w:szCs w:val="16"/>
                <w:lang w:eastAsia="fr-BE"/>
              </w:rPr>
              <w:t>afgedankte</w:t>
            </w:r>
            <w:proofErr w:type="spellEnd"/>
            <w:r w:rsidRPr="009E2D9F">
              <w:rPr>
                <w:rFonts w:ascii="Arial" w:eastAsia="Times New Roman" w:hAnsi="Arial" w:cs="Arial"/>
                <w:sz w:val="16"/>
                <w:szCs w:val="16"/>
                <w:lang w:eastAsia="fr-BE"/>
              </w:rPr>
              <w:t xml:space="preserve"> </w:t>
            </w:r>
            <w:proofErr w:type="spellStart"/>
            <w:r w:rsidRPr="009E2D9F">
              <w:rPr>
                <w:rFonts w:ascii="Arial" w:eastAsia="Times New Roman" w:hAnsi="Arial" w:cs="Arial"/>
                <w:sz w:val="16"/>
                <w:szCs w:val="16"/>
                <w:lang w:eastAsia="fr-BE"/>
              </w:rPr>
              <w:t>voertuigen</w:t>
            </w:r>
            <w:proofErr w:type="spellEnd"/>
          </w:p>
        </w:tc>
        <w:tc>
          <w:tcPr>
            <w:tcW w:w="567" w:type="dxa"/>
            <w:tcBorders>
              <w:top w:val="nil"/>
              <w:left w:val="nil"/>
              <w:bottom w:val="single" w:sz="4" w:space="0" w:color="auto"/>
              <w:right w:val="single" w:sz="4" w:space="0" w:color="auto"/>
            </w:tcBorders>
            <w:shd w:val="clear" w:color="000000" w:fill="99FF99"/>
            <w:vAlign w:val="center"/>
            <w:hideMark/>
          </w:tcPr>
          <w:p w14:paraId="6C093AB9" w14:textId="77777777" w:rsidR="009E2D9F" w:rsidRPr="009E2D9F" w:rsidRDefault="009E2D9F" w:rsidP="009E2D9F">
            <w:pPr>
              <w:spacing w:after="0" w:line="240" w:lineRule="auto"/>
              <w:jc w:val="center"/>
              <w:rPr>
                <w:rFonts w:ascii="Arial" w:eastAsia="Times New Roman" w:hAnsi="Arial" w:cs="Arial"/>
                <w:sz w:val="16"/>
                <w:szCs w:val="16"/>
                <w:lang w:eastAsia="fr-BE"/>
              </w:rPr>
            </w:pPr>
            <w:r w:rsidRPr="009E2D9F">
              <w:rPr>
                <w:rFonts w:ascii="Arial" w:eastAsia="Times New Roman" w:hAnsi="Arial" w:cs="Arial"/>
                <w:sz w:val="16"/>
                <w:szCs w:val="16"/>
                <w:lang w:eastAsia="fr-BE"/>
              </w:rPr>
              <w:t>1B</w:t>
            </w:r>
          </w:p>
        </w:tc>
        <w:tc>
          <w:tcPr>
            <w:tcW w:w="2835" w:type="dxa"/>
            <w:tcBorders>
              <w:top w:val="nil"/>
              <w:left w:val="nil"/>
              <w:bottom w:val="single" w:sz="4" w:space="0" w:color="auto"/>
              <w:right w:val="single" w:sz="4" w:space="0" w:color="auto"/>
            </w:tcBorders>
            <w:shd w:val="clear" w:color="000000" w:fill="CCFFCC"/>
            <w:vAlign w:val="center"/>
            <w:hideMark/>
          </w:tcPr>
          <w:p w14:paraId="391EAF2A"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c>
          <w:tcPr>
            <w:tcW w:w="2835" w:type="dxa"/>
            <w:tcBorders>
              <w:top w:val="nil"/>
              <w:left w:val="nil"/>
              <w:bottom w:val="single" w:sz="4" w:space="0" w:color="auto"/>
              <w:right w:val="single" w:sz="8" w:space="0" w:color="auto"/>
            </w:tcBorders>
            <w:shd w:val="clear" w:color="000000" w:fill="CCFFCC"/>
            <w:vAlign w:val="center"/>
            <w:hideMark/>
          </w:tcPr>
          <w:p w14:paraId="69329DB8" w14:textId="77777777" w:rsidR="009E2D9F" w:rsidRPr="009E2D9F" w:rsidRDefault="009E2D9F" w:rsidP="009E2D9F">
            <w:pPr>
              <w:spacing w:after="0" w:line="240" w:lineRule="auto"/>
              <w:rPr>
                <w:rFonts w:ascii="Arial" w:eastAsia="Times New Roman" w:hAnsi="Arial" w:cs="Arial"/>
                <w:sz w:val="16"/>
                <w:szCs w:val="16"/>
                <w:lang w:eastAsia="fr-BE"/>
              </w:rPr>
            </w:pPr>
            <w:r w:rsidRPr="009E2D9F">
              <w:rPr>
                <w:rFonts w:ascii="Arial" w:eastAsia="Times New Roman" w:hAnsi="Arial" w:cs="Arial"/>
                <w:sz w:val="16"/>
                <w:szCs w:val="16"/>
                <w:lang w:eastAsia="fr-BE"/>
              </w:rPr>
              <w:t> </w:t>
            </w:r>
          </w:p>
        </w:tc>
      </w:tr>
      <w:tr w:rsidR="009E2D9F" w:rsidRPr="009E2D9F" w14:paraId="56143360" w14:textId="77777777" w:rsidTr="00F63922">
        <w:trPr>
          <w:trHeight w:val="2088"/>
          <w:jc w:val="center"/>
        </w:trPr>
        <w:tc>
          <w:tcPr>
            <w:tcW w:w="0" w:type="auto"/>
            <w:tcBorders>
              <w:top w:val="nil"/>
              <w:left w:val="single" w:sz="4" w:space="0" w:color="auto"/>
              <w:bottom w:val="single" w:sz="4" w:space="0" w:color="auto"/>
              <w:right w:val="single" w:sz="4" w:space="0" w:color="auto"/>
            </w:tcBorders>
            <w:shd w:val="clear" w:color="000000" w:fill="92D050"/>
            <w:noWrap/>
            <w:vAlign w:val="center"/>
            <w:hideMark/>
          </w:tcPr>
          <w:p w14:paraId="1766F3FE" w14:textId="77777777" w:rsidR="009E2D9F" w:rsidRPr="009E2D9F" w:rsidRDefault="009E2D9F" w:rsidP="009E2D9F">
            <w:pPr>
              <w:spacing w:after="0" w:line="240" w:lineRule="auto"/>
              <w:jc w:val="center"/>
              <w:rPr>
                <w:rFonts w:ascii="Arial" w:eastAsia="Times New Roman" w:hAnsi="Arial" w:cs="Arial"/>
                <w:b/>
                <w:bCs/>
                <w:color w:val="000000"/>
                <w:sz w:val="16"/>
                <w:szCs w:val="16"/>
                <w:lang w:eastAsia="fr-BE"/>
              </w:rPr>
            </w:pPr>
            <w:r w:rsidRPr="009E2D9F">
              <w:rPr>
                <w:rFonts w:ascii="Arial" w:eastAsia="Times New Roman" w:hAnsi="Arial" w:cs="Arial"/>
                <w:b/>
                <w:bCs/>
                <w:color w:val="000000"/>
                <w:sz w:val="16"/>
                <w:szCs w:val="16"/>
                <w:lang w:eastAsia="fr-BE"/>
              </w:rPr>
              <w:t>165</w:t>
            </w:r>
          </w:p>
        </w:tc>
        <w:tc>
          <w:tcPr>
            <w:tcW w:w="3756" w:type="dxa"/>
            <w:tcBorders>
              <w:top w:val="single" w:sz="4" w:space="0" w:color="auto"/>
              <w:left w:val="nil"/>
              <w:bottom w:val="single" w:sz="4" w:space="0" w:color="auto"/>
              <w:right w:val="single" w:sz="4" w:space="0" w:color="auto"/>
            </w:tcBorders>
            <w:shd w:val="clear" w:color="000000" w:fill="99FF99"/>
            <w:vAlign w:val="center"/>
            <w:hideMark/>
          </w:tcPr>
          <w:p w14:paraId="35468839" w14:textId="77777777" w:rsidR="009E2D9F" w:rsidRPr="009E2D9F" w:rsidRDefault="009E2D9F" w:rsidP="009E2D9F">
            <w:pPr>
              <w:spacing w:after="0" w:line="240" w:lineRule="auto"/>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 Construction et assemblage de véhicules automobiles et Construction de moteurs pour ceux-ci</w:t>
            </w:r>
            <w:r w:rsidRPr="009E2D9F">
              <w:rPr>
                <w:rFonts w:ascii="Arial" w:eastAsia="Times New Roman" w:hAnsi="Arial" w:cs="Arial"/>
                <w:color w:val="000000"/>
                <w:sz w:val="16"/>
                <w:szCs w:val="16"/>
                <w:lang w:eastAsia="fr-BE"/>
              </w:rPr>
              <w:br/>
            </w:r>
            <w:r w:rsidRPr="009E2D9F">
              <w:rPr>
                <w:rFonts w:ascii="Arial" w:eastAsia="Times New Roman" w:hAnsi="Arial" w:cs="Arial"/>
                <w:color w:val="000000"/>
                <w:sz w:val="16"/>
                <w:szCs w:val="16"/>
                <w:lang w:eastAsia="fr-BE"/>
              </w:rPr>
              <w:br/>
              <w:t xml:space="preserve">- Chantiers navals </w:t>
            </w:r>
            <w:r w:rsidRPr="009E2D9F">
              <w:rPr>
                <w:rFonts w:ascii="Arial" w:eastAsia="Times New Roman" w:hAnsi="Arial" w:cs="Arial"/>
                <w:color w:val="000000"/>
                <w:sz w:val="16"/>
                <w:szCs w:val="16"/>
                <w:lang w:eastAsia="fr-BE"/>
              </w:rPr>
              <w:br/>
            </w:r>
            <w:r w:rsidRPr="009E2D9F">
              <w:rPr>
                <w:rFonts w:ascii="Arial" w:eastAsia="Times New Roman" w:hAnsi="Arial" w:cs="Arial"/>
                <w:color w:val="000000"/>
                <w:sz w:val="16"/>
                <w:szCs w:val="16"/>
                <w:lang w:eastAsia="fr-BE"/>
              </w:rPr>
              <w:br/>
              <w:t>Installations pour la construction et la réparation d’aéronefs</w:t>
            </w:r>
            <w:r w:rsidRPr="009E2D9F">
              <w:rPr>
                <w:rFonts w:ascii="Arial" w:eastAsia="Times New Roman" w:hAnsi="Arial" w:cs="Arial"/>
                <w:color w:val="000000"/>
                <w:sz w:val="16"/>
                <w:szCs w:val="16"/>
                <w:lang w:eastAsia="fr-BE"/>
              </w:rPr>
              <w:br/>
            </w:r>
            <w:r w:rsidRPr="009E2D9F">
              <w:rPr>
                <w:rFonts w:ascii="Arial" w:eastAsia="Times New Roman" w:hAnsi="Arial" w:cs="Arial"/>
                <w:color w:val="000000"/>
                <w:sz w:val="16"/>
                <w:szCs w:val="16"/>
                <w:lang w:eastAsia="fr-BE"/>
              </w:rPr>
              <w:br/>
              <w:t>- Construction de matériel ferroviaire</w:t>
            </w:r>
          </w:p>
        </w:tc>
        <w:tc>
          <w:tcPr>
            <w:tcW w:w="3754" w:type="dxa"/>
            <w:tcBorders>
              <w:top w:val="nil"/>
              <w:left w:val="nil"/>
              <w:bottom w:val="single" w:sz="4" w:space="0" w:color="auto"/>
              <w:right w:val="single" w:sz="4" w:space="0" w:color="auto"/>
            </w:tcBorders>
            <w:shd w:val="clear" w:color="000000" w:fill="99FF99"/>
            <w:vAlign w:val="center"/>
            <w:hideMark/>
          </w:tcPr>
          <w:p w14:paraId="6DE4C114" w14:textId="77777777" w:rsidR="009E2D9F" w:rsidRPr="009E2D9F" w:rsidRDefault="009E2D9F" w:rsidP="009E2D9F">
            <w:pPr>
              <w:spacing w:after="0" w:line="240" w:lineRule="auto"/>
              <w:rPr>
                <w:rFonts w:ascii="Arial" w:eastAsia="Times New Roman" w:hAnsi="Arial" w:cs="Arial"/>
                <w:color w:val="000000"/>
                <w:sz w:val="16"/>
                <w:szCs w:val="16"/>
                <w:lang w:val="nl-BE" w:eastAsia="fr-BE"/>
              </w:rPr>
            </w:pPr>
            <w:r w:rsidRPr="009E2D9F">
              <w:rPr>
                <w:rFonts w:ascii="Arial" w:eastAsia="Times New Roman" w:hAnsi="Arial" w:cs="Arial"/>
                <w:color w:val="000000"/>
                <w:sz w:val="16"/>
                <w:szCs w:val="16"/>
                <w:lang w:val="nl-BE" w:eastAsia="fr-BE"/>
              </w:rPr>
              <w:t>- Automobielfabrieken en assemblagebedrijven en fabrieken van</w:t>
            </w:r>
            <w:r w:rsidRPr="009E2D9F">
              <w:rPr>
                <w:rFonts w:ascii="Arial" w:eastAsia="Times New Roman" w:hAnsi="Arial" w:cs="Arial"/>
                <w:color w:val="000000"/>
                <w:sz w:val="16"/>
                <w:szCs w:val="16"/>
                <w:lang w:val="nl-BE" w:eastAsia="fr-BE"/>
              </w:rPr>
              <w:br/>
              <w:t>automobielmotoren</w:t>
            </w:r>
            <w:r w:rsidRPr="009E2D9F">
              <w:rPr>
                <w:rFonts w:ascii="Arial" w:eastAsia="Times New Roman" w:hAnsi="Arial" w:cs="Arial"/>
                <w:color w:val="000000"/>
                <w:sz w:val="16"/>
                <w:szCs w:val="16"/>
                <w:lang w:val="nl-BE" w:eastAsia="fr-BE"/>
              </w:rPr>
              <w:br/>
            </w:r>
            <w:r w:rsidRPr="009E2D9F">
              <w:rPr>
                <w:rFonts w:ascii="Arial" w:eastAsia="Times New Roman" w:hAnsi="Arial" w:cs="Arial"/>
                <w:color w:val="000000"/>
                <w:sz w:val="16"/>
                <w:szCs w:val="16"/>
                <w:lang w:val="nl-BE" w:eastAsia="fr-BE"/>
              </w:rPr>
              <w:br/>
              <w:t>- Scheepswerven</w:t>
            </w:r>
            <w:r w:rsidRPr="009E2D9F">
              <w:rPr>
                <w:rFonts w:ascii="Arial" w:eastAsia="Times New Roman" w:hAnsi="Arial" w:cs="Arial"/>
                <w:color w:val="000000"/>
                <w:sz w:val="16"/>
                <w:szCs w:val="16"/>
                <w:lang w:val="nl-BE" w:eastAsia="fr-BE"/>
              </w:rPr>
              <w:br/>
            </w:r>
            <w:r w:rsidRPr="009E2D9F">
              <w:rPr>
                <w:rFonts w:ascii="Arial" w:eastAsia="Times New Roman" w:hAnsi="Arial" w:cs="Arial"/>
                <w:color w:val="000000"/>
                <w:sz w:val="16"/>
                <w:szCs w:val="16"/>
                <w:lang w:val="nl-BE" w:eastAsia="fr-BE"/>
              </w:rPr>
              <w:br/>
              <w:t>Inrichtingen voor de bouw en reparatie</w:t>
            </w:r>
            <w:r w:rsidRPr="009E2D9F">
              <w:rPr>
                <w:rFonts w:ascii="Arial" w:eastAsia="Times New Roman" w:hAnsi="Arial" w:cs="Arial"/>
                <w:color w:val="000000"/>
                <w:sz w:val="16"/>
                <w:szCs w:val="16"/>
                <w:lang w:val="nl-BE" w:eastAsia="fr-BE"/>
              </w:rPr>
              <w:br/>
              <w:t>van luchtvaartuigen</w:t>
            </w:r>
            <w:r w:rsidRPr="009E2D9F">
              <w:rPr>
                <w:rFonts w:ascii="Arial" w:eastAsia="Times New Roman" w:hAnsi="Arial" w:cs="Arial"/>
                <w:color w:val="000000"/>
                <w:sz w:val="16"/>
                <w:szCs w:val="16"/>
                <w:lang w:val="nl-BE" w:eastAsia="fr-BE"/>
              </w:rPr>
              <w:br/>
            </w:r>
            <w:r w:rsidRPr="009E2D9F">
              <w:rPr>
                <w:rFonts w:ascii="Arial" w:eastAsia="Times New Roman" w:hAnsi="Arial" w:cs="Arial"/>
                <w:color w:val="000000"/>
                <w:sz w:val="16"/>
                <w:szCs w:val="16"/>
                <w:lang w:val="nl-BE" w:eastAsia="fr-BE"/>
              </w:rPr>
              <w:br/>
              <w:t>- Spoorwegmaterieelfabrieken</w:t>
            </w:r>
          </w:p>
        </w:tc>
        <w:tc>
          <w:tcPr>
            <w:tcW w:w="567" w:type="dxa"/>
            <w:tcBorders>
              <w:top w:val="nil"/>
              <w:left w:val="nil"/>
              <w:bottom w:val="single" w:sz="4" w:space="0" w:color="auto"/>
              <w:right w:val="single" w:sz="4" w:space="0" w:color="auto"/>
            </w:tcBorders>
            <w:shd w:val="clear" w:color="000000" w:fill="99FF99"/>
            <w:noWrap/>
            <w:vAlign w:val="center"/>
            <w:hideMark/>
          </w:tcPr>
          <w:p w14:paraId="7BD01C51" w14:textId="77777777" w:rsidR="009E2D9F" w:rsidRPr="009E2D9F" w:rsidRDefault="009E2D9F" w:rsidP="009E2D9F">
            <w:pPr>
              <w:spacing w:after="0" w:line="240" w:lineRule="auto"/>
              <w:jc w:val="center"/>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1B</w:t>
            </w:r>
          </w:p>
        </w:tc>
        <w:tc>
          <w:tcPr>
            <w:tcW w:w="2835" w:type="dxa"/>
            <w:tcBorders>
              <w:top w:val="nil"/>
              <w:left w:val="nil"/>
              <w:bottom w:val="single" w:sz="4" w:space="0" w:color="auto"/>
              <w:right w:val="single" w:sz="4" w:space="0" w:color="auto"/>
            </w:tcBorders>
            <w:shd w:val="clear" w:color="000000" w:fill="CCFFCC"/>
            <w:noWrap/>
            <w:vAlign w:val="center"/>
            <w:hideMark/>
          </w:tcPr>
          <w:p w14:paraId="79DB3999" w14:textId="77777777" w:rsidR="009E2D9F" w:rsidRPr="009E2D9F" w:rsidRDefault="009E2D9F" w:rsidP="009E2D9F">
            <w:pPr>
              <w:spacing w:after="0" w:line="240" w:lineRule="auto"/>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 </w:t>
            </w:r>
          </w:p>
        </w:tc>
        <w:tc>
          <w:tcPr>
            <w:tcW w:w="2835" w:type="dxa"/>
            <w:tcBorders>
              <w:top w:val="nil"/>
              <w:left w:val="single" w:sz="4" w:space="0" w:color="auto"/>
              <w:bottom w:val="single" w:sz="4" w:space="0" w:color="auto"/>
              <w:right w:val="single" w:sz="8" w:space="0" w:color="auto"/>
            </w:tcBorders>
            <w:shd w:val="clear" w:color="000000" w:fill="CCFFCC"/>
            <w:noWrap/>
            <w:vAlign w:val="center"/>
            <w:hideMark/>
          </w:tcPr>
          <w:p w14:paraId="6A3D8B41" w14:textId="77777777" w:rsidR="009E2D9F" w:rsidRPr="009E2D9F" w:rsidRDefault="009E2D9F" w:rsidP="009E2D9F">
            <w:pPr>
              <w:spacing w:after="0" w:line="240" w:lineRule="auto"/>
              <w:rPr>
                <w:rFonts w:ascii="Calibri" w:eastAsia="Times New Roman" w:hAnsi="Calibri" w:cs="Calibri"/>
                <w:color w:val="000000"/>
                <w:lang w:eastAsia="fr-BE"/>
              </w:rPr>
            </w:pPr>
            <w:r w:rsidRPr="009E2D9F">
              <w:rPr>
                <w:rFonts w:ascii="Calibri" w:eastAsia="Times New Roman" w:hAnsi="Calibri" w:cs="Calibri"/>
                <w:color w:val="000000"/>
                <w:lang w:eastAsia="fr-BE"/>
              </w:rPr>
              <w:t> </w:t>
            </w:r>
          </w:p>
        </w:tc>
      </w:tr>
      <w:tr w:rsidR="009E2D9F" w:rsidRPr="009E2D9F" w14:paraId="1A054158" w14:textId="77777777" w:rsidTr="00F63922">
        <w:trPr>
          <w:trHeight w:val="432"/>
          <w:jc w:val="center"/>
        </w:trPr>
        <w:tc>
          <w:tcPr>
            <w:tcW w:w="0" w:type="auto"/>
            <w:tcBorders>
              <w:top w:val="nil"/>
              <w:left w:val="single" w:sz="4" w:space="0" w:color="auto"/>
              <w:bottom w:val="single" w:sz="4" w:space="0" w:color="auto"/>
              <w:right w:val="single" w:sz="4" w:space="0" w:color="auto"/>
            </w:tcBorders>
            <w:shd w:val="clear" w:color="000000" w:fill="92D050"/>
            <w:noWrap/>
            <w:vAlign w:val="center"/>
            <w:hideMark/>
          </w:tcPr>
          <w:p w14:paraId="6003BFE4" w14:textId="77777777" w:rsidR="009E2D9F" w:rsidRPr="009E2D9F" w:rsidRDefault="009E2D9F" w:rsidP="009E2D9F">
            <w:pPr>
              <w:spacing w:after="0" w:line="240" w:lineRule="auto"/>
              <w:jc w:val="center"/>
              <w:rPr>
                <w:rFonts w:ascii="Arial" w:eastAsia="Times New Roman" w:hAnsi="Arial" w:cs="Arial"/>
                <w:b/>
                <w:bCs/>
                <w:color w:val="000000"/>
                <w:sz w:val="16"/>
                <w:szCs w:val="16"/>
                <w:lang w:eastAsia="fr-BE"/>
              </w:rPr>
            </w:pPr>
            <w:r w:rsidRPr="009E2D9F">
              <w:rPr>
                <w:rFonts w:ascii="Arial" w:eastAsia="Times New Roman" w:hAnsi="Arial" w:cs="Arial"/>
                <w:b/>
                <w:bCs/>
                <w:color w:val="000000"/>
                <w:sz w:val="16"/>
                <w:szCs w:val="16"/>
                <w:lang w:eastAsia="fr-BE"/>
              </w:rPr>
              <w:t>167</w:t>
            </w:r>
          </w:p>
        </w:tc>
        <w:tc>
          <w:tcPr>
            <w:tcW w:w="3756" w:type="dxa"/>
            <w:tcBorders>
              <w:top w:val="nil"/>
              <w:left w:val="nil"/>
              <w:bottom w:val="single" w:sz="4" w:space="0" w:color="auto"/>
              <w:right w:val="single" w:sz="4" w:space="0" w:color="auto"/>
            </w:tcBorders>
            <w:shd w:val="clear" w:color="000000" w:fill="99FF99"/>
            <w:vAlign w:val="center"/>
            <w:hideMark/>
          </w:tcPr>
          <w:p w14:paraId="20C93A23" w14:textId="77777777" w:rsidR="009E2D9F" w:rsidRPr="009E2D9F" w:rsidRDefault="009E2D9F" w:rsidP="009E2D9F">
            <w:pPr>
              <w:spacing w:after="0" w:line="240" w:lineRule="auto"/>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Installations destinées à la récupération ou à la destruction de substances explosives</w:t>
            </w:r>
          </w:p>
        </w:tc>
        <w:tc>
          <w:tcPr>
            <w:tcW w:w="3754" w:type="dxa"/>
            <w:tcBorders>
              <w:top w:val="nil"/>
              <w:left w:val="nil"/>
              <w:bottom w:val="single" w:sz="4" w:space="0" w:color="auto"/>
              <w:right w:val="single" w:sz="4" w:space="0" w:color="auto"/>
            </w:tcBorders>
            <w:shd w:val="clear" w:color="000000" w:fill="99FF99"/>
            <w:vAlign w:val="center"/>
            <w:hideMark/>
          </w:tcPr>
          <w:p w14:paraId="62C80BD5" w14:textId="77777777" w:rsidR="009E2D9F" w:rsidRPr="009E2D9F" w:rsidRDefault="009E2D9F" w:rsidP="009E2D9F">
            <w:pPr>
              <w:spacing w:after="0" w:line="240" w:lineRule="auto"/>
              <w:rPr>
                <w:rFonts w:ascii="Arial" w:eastAsia="Times New Roman" w:hAnsi="Arial" w:cs="Arial"/>
                <w:color w:val="000000"/>
                <w:sz w:val="16"/>
                <w:szCs w:val="16"/>
                <w:lang w:val="nl-BE" w:eastAsia="fr-BE"/>
              </w:rPr>
            </w:pPr>
            <w:r w:rsidRPr="009E2D9F">
              <w:rPr>
                <w:rFonts w:ascii="Arial" w:eastAsia="Times New Roman" w:hAnsi="Arial" w:cs="Arial"/>
                <w:color w:val="000000"/>
                <w:sz w:val="16"/>
                <w:szCs w:val="16"/>
                <w:lang w:val="nl-BE" w:eastAsia="fr-BE"/>
              </w:rPr>
              <w:t>Installaties voor de terugwinning of vernietiging van explosieve stoffen</w:t>
            </w:r>
          </w:p>
        </w:tc>
        <w:tc>
          <w:tcPr>
            <w:tcW w:w="567" w:type="dxa"/>
            <w:tcBorders>
              <w:top w:val="nil"/>
              <w:left w:val="nil"/>
              <w:bottom w:val="single" w:sz="4" w:space="0" w:color="auto"/>
              <w:right w:val="single" w:sz="4" w:space="0" w:color="auto"/>
            </w:tcBorders>
            <w:shd w:val="clear" w:color="000000" w:fill="99FF99"/>
            <w:noWrap/>
            <w:vAlign w:val="center"/>
            <w:hideMark/>
          </w:tcPr>
          <w:p w14:paraId="2F7AD048" w14:textId="77777777" w:rsidR="009E2D9F" w:rsidRPr="009E2D9F" w:rsidRDefault="009E2D9F" w:rsidP="009E2D9F">
            <w:pPr>
              <w:spacing w:after="0" w:line="240" w:lineRule="auto"/>
              <w:jc w:val="center"/>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1B</w:t>
            </w:r>
          </w:p>
        </w:tc>
        <w:tc>
          <w:tcPr>
            <w:tcW w:w="2835" w:type="dxa"/>
            <w:tcBorders>
              <w:top w:val="nil"/>
              <w:left w:val="nil"/>
              <w:bottom w:val="single" w:sz="4" w:space="0" w:color="auto"/>
              <w:right w:val="single" w:sz="4" w:space="0" w:color="auto"/>
            </w:tcBorders>
            <w:shd w:val="clear" w:color="000000" w:fill="CCFFCC"/>
            <w:noWrap/>
            <w:vAlign w:val="center"/>
            <w:hideMark/>
          </w:tcPr>
          <w:p w14:paraId="15953532" w14:textId="77777777" w:rsidR="009E2D9F" w:rsidRPr="009E2D9F" w:rsidRDefault="009E2D9F" w:rsidP="009E2D9F">
            <w:pPr>
              <w:spacing w:after="0" w:line="240" w:lineRule="auto"/>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 </w:t>
            </w:r>
          </w:p>
        </w:tc>
        <w:tc>
          <w:tcPr>
            <w:tcW w:w="2835" w:type="dxa"/>
            <w:tcBorders>
              <w:top w:val="nil"/>
              <w:left w:val="single" w:sz="4" w:space="0" w:color="auto"/>
              <w:bottom w:val="single" w:sz="4" w:space="0" w:color="auto"/>
              <w:right w:val="single" w:sz="8" w:space="0" w:color="auto"/>
            </w:tcBorders>
            <w:shd w:val="clear" w:color="000000" w:fill="CCFFCC"/>
            <w:noWrap/>
            <w:vAlign w:val="center"/>
            <w:hideMark/>
          </w:tcPr>
          <w:p w14:paraId="18268D3E" w14:textId="77777777" w:rsidR="009E2D9F" w:rsidRPr="009E2D9F" w:rsidRDefault="009E2D9F" w:rsidP="009E2D9F">
            <w:pPr>
              <w:spacing w:after="0" w:line="240" w:lineRule="auto"/>
              <w:rPr>
                <w:rFonts w:ascii="Calibri" w:eastAsia="Times New Roman" w:hAnsi="Calibri" w:cs="Calibri"/>
                <w:color w:val="000000"/>
                <w:lang w:eastAsia="fr-BE"/>
              </w:rPr>
            </w:pPr>
            <w:r w:rsidRPr="009E2D9F">
              <w:rPr>
                <w:rFonts w:ascii="Calibri" w:eastAsia="Times New Roman" w:hAnsi="Calibri" w:cs="Calibri"/>
                <w:color w:val="000000"/>
                <w:lang w:eastAsia="fr-BE"/>
              </w:rPr>
              <w:t> </w:t>
            </w:r>
          </w:p>
        </w:tc>
      </w:tr>
      <w:tr w:rsidR="009E2D9F" w:rsidRPr="009E2D9F" w14:paraId="72CE3B86" w14:textId="77777777" w:rsidTr="00F63922">
        <w:trPr>
          <w:trHeight w:val="288"/>
          <w:jc w:val="center"/>
        </w:trPr>
        <w:tc>
          <w:tcPr>
            <w:tcW w:w="0" w:type="auto"/>
            <w:tcBorders>
              <w:top w:val="nil"/>
              <w:left w:val="single" w:sz="4" w:space="0" w:color="auto"/>
              <w:bottom w:val="single" w:sz="4" w:space="0" w:color="auto"/>
              <w:right w:val="single" w:sz="4" w:space="0" w:color="auto"/>
            </w:tcBorders>
            <w:shd w:val="clear" w:color="000000" w:fill="92D050"/>
            <w:noWrap/>
            <w:vAlign w:val="center"/>
            <w:hideMark/>
          </w:tcPr>
          <w:p w14:paraId="56A87AD3" w14:textId="77777777" w:rsidR="009E2D9F" w:rsidRPr="009E2D9F" w:rsidRDefault="009E2D9F" w:rsidP="009E2D9F">
            <w:pPr>
              <w:spacing w:after="0" w:line="240" w:lineRule="auto"/>
              <w:jc w:val="center"/>
              <w:rPr>
                <w:rFonts w:ascii="Arial" w:eastAsia="Times New Roman" w:hAnsi="Arial" w:cs="Arial"/>
                <w:b/>
                <w:bCs/>
                <w:color w:val="000000"/>
                <w:sz w:val="16"/>
                <w:szCs w:val="16"/>
                <w:lang w:eastAsia="fr-BE"/>
              </w:rPr>
            </w:pPr>
            <w:r w:rsidRPr="009E2D9F">
              <w:rPr>
                <w:rFonts w:ascii="Arial" w:eastAsia="Times New Roman" w:hAnsi="Arial" w:cs="Arial"/>
                <w:b/>
                <w:bCs/>
                <w:color w:val="000000"/>
                <w:sz w:val="16"/>
                <w:szCs w:val="16"/>
                <w:lang w:eastAsia="fr-BE"/>
              </w:rPr>
              <w:t>168</w:t>
            </w:r>
          </w:p>
        </w:tc>
        <w:tc>
          <w:tcPr>
            <w:tcW w:w="3756" w:type="dxa"/>
            <w:tcBorders>
              <w:top w:val="nil"/>
              <w:left w:val="nil"/>
              <w:bottom w:val="single" w:sz="4" w:space="0" w:color="auto"/>
              <w:right w:val="single" w:sz="4" w:space="0" w:color="auto"/>
            </w:tcBorders>
            <w:shd w:val="clear" w:color="000000" w:fill="99FF99"/>
            <w:noWrap/>
            <w:vAlign w:val="center"/>
            <w:hideMark/>
          </w:tcPr>
          <w:p w14:paraId="07628A96" w14:textId="77777777" w:rsidR="009E2D9F" w:rsidRPr="009E2D9F" w:rsidRDefault="009E2D9F" w:rsidP="009E2D9F">
            <w:pPr>
              <w:spacing w:after="0" w:line="240" w:lineRule="auto"/>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Installation de production et de traitement de la cellulose</w:t>
            </w:r>
          </w:p>
        </w:tc>
        <w:tc>
          <w:tcPr>
            <w:tcW w:w="3754" w:type="dxa"/>
            <w:tcBorders>
              <w:top w:val="nil"/>
              <w:left w:val="nil"/>
              <w:bottom w:val="single" w:sz="4" w:space="0" w:color="auto"/>
              <w:right w:val="single" w:sz="4" w:space="0" w:color="auto"/>
            </w:tcBorders>
            <w:shd w:val="clear" w:color="000000" w:fill="99FF99"/>
            <w:noWrap/>
            <w:vAlign w:val="center"/>
            <w:hideMark/>
          </w:tcPr>
          <w:p w14:paraId="6A6B4E9E" w14:textId="77777777" w:rsidR="009E2D9F" w:rsidRPr="009E2D9F" w:rsidRDefault="009E2D9F" w:rsidP="009E2D9F">
            <w:pPr>
              <w:spacing w:after="0" w:line="240" w:lineRule="auto"/>
              <w:rPr>
                <w:rFonts w:ascii="Arial" w:eastAsia="Times New Roman" w:hAnsi="Arial" w:cs="Arial"/>
                <w:color w:val="000000"/>
                <w:sz w:val="16"/>
                <w:szCs w:val="16"/>
                <w:lang w:val="nl-BE" w:eastAsia="fr-BE"/>
              </w:rPr>
            </w:pPr>
            <w:r w:rsidRPr="009E2D9F">
              <w:rPr>
                <w:rFonts w:ascii="Arial" w:eastAsia="Times New Roman" w:hAnsi="Arial" w:cs="Arial"/>
                <w:color w:val="000000"/>
                <w:sz w:val="16"/>
                <w:szCs w:val="16"/>
                <w:lang w:val="nl-BE" w:eastAsia="fr-BE"/>
              </w:rPr>
              <w:t>Installaties voor het produceren en bewerken van celstof</w:t>
            </w:r>
          </w:p>
        </w:tc>
        <w:tc>
          <w:tcPr>
            <w:tcW w:w="567" w:type="dxa"/>
            <w:tcBorders>
              <w:top w:val="nil"/>
              <w:left w:val="nil"/>
              <w:bottom w:val="single" w:sz="4" w:space="0" w:color="auto"/>
              <w:right w:val="single" w:sz="4" w:space="0" w:color="auto"/>
            </w:tcBorders>
            <w:shd w:val="clear" w:color="000000" w:fill="99FF99"/>
            <w:noWrap/>
            <w:vAlign w:val="center"/>
            <w:hideMark/>
          </w:tcPr>
          <w:p w14:paraId="31B3F118" w14:textId="77777777" w:rsidR="009E2D9F" w:rsidRPr="009E2D9F" w:rsidRDefault="009E2D9F" w:rsidP="009E2D9F">
            <w:pPr>
              <w:spacing w:after="0" w:line="240" w:lineRule="auto"/>
              <w:jc w:val="center"/>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1B</w:t>
            </w:r>
          </w:p>
        </w:tc>
        <w:tc>
          <w:tcPr>
            <w:tcW w:w="2835" w:type="dxa"/>
            <w:tcBorders>
              <w:top w:val="nil"/>
              <w:left w:val="nil"/>
              <w:bottom w:val="single" w:sz="4" w:space="0" w:color="auto"/>
              <w:right w:val="single" w:sz="4" w:space="0" w:color="auto"/>
            </w:tcBorders>
            <w:shd w:val="clear" w:color="000000" w:fill="CCFFCC"/>
            <w:noWrap/>
            <w:vAlign w:val="center"/>
            <w:hideMark/>
          </w:tcPr>
          <w:p w14:paraId="5F34FC8F" w14:textId="77777777" w:rsidR="009E2D9F" w:rsidRPr="009E2D9F" w:rsidRDefault="009E2D9F" w:rsidP="009E2D9F">
            <w:pPr>
              <w:spacing w:after="0" w:line="240" w:lineRule="auto"/>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 </w:t>
            </w:r>
          </w:p>
        </w:tc>
        <w:tc>
          <w:tcPr>
            <w:tcW w:w="2835" w:type="dxa"/>
            <w:tcBorders>
              <w:top w:val="nil"/>
              <w:left w:val="single" w:sz="4" w:space="0" w:color="auto"/>
              <w:bottom w:val="single" w:sz="4" w:space="0" w:color="auto"/>
              <w:right w:val="single" w:sz="8" w:space="0" w:color="auto"/>
            </w:tcBorders>
            <w:shd w:val="clear" w:color="000000" w:fill="CCFFCC"/>
            <w:noWrap/>
            <w:vAlign w:val="center"/>
            <w:hideMark/>
          </w:tcPr>
          <w:p w14:paraId="0EC9E7CC" w14:textId="77777777" w:rsidR="009E2D9F" w:rsidRPr="009E2D9F" w:rsidRDefault="009E2D9F" w:rsidP="009E2D9F">
            <w:pPr>
              <w:spacing w:after="0" w:line="240" w:lineRule="auto"/>
              <w:rPr>
                <w:rFonts w:ascii="Calibri" w:eastAsia="Times New Roman" w:hAnsi="Calibri" w:cs="Calibri"/>
                <w:color w:val="000000"/>
                <w:lang w:eastAsia="fr-BE"/>
              </w:rPr>
            </w:pPr>
            <w:r w:rsidRPr="009E2D9F">
              <w:rPr>
                <w:rFonts w:ascii="Calibri" w:eastAsia="Times New Roman" w:hAnsi="Calibri" w:cs="Calibri"/>
                <w:color w:val="000000"/>
                <w:lang w:eastAsia="fr-BE"/>
              </w:rPr>
              <w:t> </w:t>
            </w:r>
          </w:p>
        </w:tc>
      </w:tr>
      <w:tr w:rsidR="009E2D9F" w:rsidRPr="009E2D9F" w14:paraId="563D3426" w14:textId="77777777" w:rsidTr="00F63922">
        <w:trPr>
          <w:trHeight w:val="564"/>
          <w:jc w:val="center"/>
        </w:trPr>
        <w:tc>
          <w:tcPr>
            <w:tcW w:w="0" w:type="auto"/>
            <w:tcBorders>
              <w:top w:val="nil"/>
              <w:left w:val="single" w:sz="4" w:space="0" w:color="auto"/>
              <w:bottom w:val="single" w:sz="4" w:space="0" w:color="auto"/>
              <w:right w:val="single" w:sz="4" w:space="0" w:color="auto"/>
            </w:tcBorders>
            <w:shd w:val="clear" w:color="000000" w:fill="92D050"/>
            <w:noWrap/>
            <w:vAlign w:val="center"/>
            <w:hideMark/>
          </w:tcPr>
          <w:p w14:paraId="6CCE6948" w14:textId="77777777" w:rsidR="009E2D9F" w:rsidRPr="009E2D9F" w:rsidRDefault="009E2D9F" w:rsidP="009E2D9F">
            <w:pPr>
              <w:spacing w:after="0" w:line="240" w:lineRule="auto"/>
              <w:jc w:val="center"/>
              <w:rPr>
                <w:rFonts w:ascii="Arial" w:eastAsia="Times New Roman" w:hAnsi="Arial" w:cs="Arial"/>
                <w:b/>
                <w:bCs/>
                <w:color w:val="000000"/>
                <w:sz w:val="16"/>
                <w:szCs w:val="16"/>
                <w:lang w:eastAsia="fr-BE"/>
              </w:rPr>
            </w:pPr>
            <w:r w:rsidRPr="009E2D9F">
              <w:rPr>
                <w:rFonts w:ascii="Arial" w:eastAsia="Times New Roman" w:hAnsi="Arial" w:cs="Arial"/>
                <w:b/>
                <w:bCs/>
                <w:color w:val="000000"/>
                <w:sz w:val="16"/>
                <w:szCs w:val="16"/>
                <w:lang w:eastAsia="fr-BE"/>
              </w:rPr>
              <w:t>176</w:t>
            </w:r>
          </w:p>
        </w:tc>
        <w:tc>
          <w:tcPr>
            <w:tcW w:w="3756" w:type="dxa"/>
            <w:tcBorders>
              <w:top w:val="nil"/>
              <w:left w:val="nil"/>
              <w:bottom w:val="single" w:sz="4" w:space="0" w:color="auto"/>
              <w:right w:val="single" w:sz="4" w:space="0" w:color="auto"/>
            </w:tcBorders>
            <w:shd w:val="clear" w:color="000000" w:fill="99FF99"/>
            <w:vAlign w:val="center"/>
            <w:hideMark/>
          </w:tcPr>
          <w:p w14:paraId="1F511C36" w14:textId="77777777" w:rsidR="009E2D9F" w:rsidRPr="009E2D9F" w:rsidRDefault="009E2D9F" w:rsidP="009E2D9F">
            <w:pPr>
              <w:spacing w:after="0" w:line="240" w:lineRule="auto"/>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Fabrication de carbone (charbon dur) ou d'</w:t>
            </w:r>
            <w:proofErr w:type="spellStart"/>
            <w:r w:rsidRPr="009E2D9F">
              <w:rPr>
                <w:rFonts w:ascii="Arial" w:eastAsia="Times New Roman" w:hAnsi="Arial" w:cs="Arial"/>
                <w:color w:val="000000"/>
                <w:sz w:val="16"/>
                <w:szCs w:val="16"/>
                <w:lang w:eastAsia="fr-BE"/>
              </w:rPr>
              <w:t>électrographite</w:t>
            </w:r>
            <w:proofErr w:type="spellEnd"/>
            <w:r w:rsidRPr="009E2D9F">
              <w:rPr>
                <w:rFonts w:ascii="Arial" w:eastAsia="Times New Roman" w:hAnsi="Arial" w:cs="Arial"/>
                <w:color w:val="000000"/>
                <w:sz w:val="16"/>
                <w:szCs w:val="16"/>
                <w:lang w:eastAsia="fr-BE"/>
              </w:rPr>
              <w:t xml:space="preserve"> par combustion ou graphitisation</w:t>
            </w:r>
          </w:p>
        </w:tc>
        <w:tc>
          <w:tcPr>
            <w:tcW w:w="3754" w:type="dxa"/>
            <w:tcBorders>
              <w:top w:val="nil"/>
              <w:left w:val="nil"/>
              <w:bottom w:val="single" w:sz="4" w:space="0" w:color="auto"/>
              <w:right w:val="single" w:sz="4" w:space="0" w:color="auto"/>
            </w:tcBorders>
            <w:shd w:val="clear" w:color="000000" w:fill="99FF99"/>
            <w:vAlign w:val="center"/>
            <w:hideMark/>
          </w:tcPr>
          <w:p w14:paraId="05B406E8" w14:textId="77777777" w:rsidR="009E2D9F" w:rsidRPr="009E2D9F" w:rsidRDefault="009E2D9F" w:rsidP="009E2D9F">
            <w:pPr>
              <w:spacing w:after="0" w:line="240" w:lineRule="auto"/>
              <w:rPr>
                <w:rFonts w:ascii="Arial" w:eastAsia="Times New Roman" w:hAnsi="Arial" w:cs="Arial"/>
                <w:color w:val="000000"/>
                <w:sz w:val="16"/>
                <w:szCs w:val="16"/>
                <w:lang w:val="nl-BE" w:eastAsia="fr-BE"/>
              </w:rPr>
            </w:pPr>
            <w:r w:rsidRPr="009E2D9F">
              <w:rPr>
                <w:rFonts w:ascii="Arial" w:eastAsia="Times New Roman" w:hAnsi="Arial" w:cs="Arial"/>
                <w:color w:val="000000"/>
                <w:sz w:val="16"/>
                <w:szCs w:val="16"/>
                <w:lang w:val="nl-BE" w:eastAsia="fr-BE"/>
              </w:rPr>
              <w:t xml:space="preserve">Fabricage van koolstof (harde gebrande steenkool) of elektrografiet door verbranding of </w:t>
            </w:r>
            <w:proofErr w:type="spellStart"/>
            <w:r w:rsidRPr="009E2D9F">
              <w:rPr>
                <w:rFonts w:ascii="Arial" w:eastAsia="Times New Roman" w:hAnsi="Arial" w:cs="Arial"/>
                <w:color w:val="000000"/>
                <w:sz w:val="16"/>
                <w:szCs w:val="16"/>
                <w:lang w:val="nl-BE" w:eastAsia="fr-BE"/>
              </w:rPr>
              <w:t>grafitisering</w:t>
            </w:r>
            <w:proofErr w:type="spellEnd"/>
          </w:p>
        </w:tc>
        <w:tc>
          <w:tcPr>
            <w:tcW w:w="567" w:type="dxa"/>
            <w:tcBorders>
              <w:top w:val="nil"/>
              <w:left w:val="nil"/>
              <w:bottom w:val="single" w:sz="4" w:space="0" w:color="auto"/>
              <w:right w:val="single" w:sz="4" w:space="0" w:color="auto"/>
            </w:tcBorders>
            <w:shd w:val="clear" w:color="000000" w:fill="99FF99"/>
            <w:noWrap/>
            <w:vAlign w:val="center"/>
            <w:hideMark/>
          </w:tcPr>
          <w:p w14:paraId="6679AA1A" w14:textId="77777777" w:rsidR="009E2D9F" w:rsidRPr="009E2D9F" w:rsidRDefault="009E2D9F" w:rsidP="009E2D9F">
            <w:pPr>
              <w:spacing w:after="0" w:line="240" w:lineRule="auto"/>
              <w:jc w:val="center"/>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1B</w:t>
            </w:r>
          </w:p>
        </w:tc>
        <w:tc>
          <w:tcPr>
            <w:tcW w:w="2835" w:type="dxa"/>
            <w:tcBorders>
              <w:top w:val="nil"/>
              <w:left w:val="nil"/>
              <w:bottom w:val="single" w:sz="4" w:space="0" w:color="auto"/>
              <w:right w:val="single" w:sz="4" w:space="0" w:color="auto"/>
            </w:tcBorders>
            <w:shd w:val="clear" w:color="000000" w:fill="CCFFCC"/>
            <w:noWrap/>
            <w:vAlign w:val="center"/>
            <w:hideMark/>
          </w:tcPr>
          <w:p w14:paraId="647F8DA5" w14:textId="77777777" w:rsidR="009E2D9F" w:rsidRPr="009E2D9F" w:rsidRDefault="009E2D9F" w:rsidP="009E2D9F">
            <w:pPr>
              <w:spacing w:after="0" w:line="240" w:lineRule="auto"/>
              <w:rPr>
                <w:rFonts w:ascii="Arial" w:eastAsia="Times New Roman" w:hAnsi="Arial" w:cs="Arial"/>
                <w:color w:val="000000"/>
                <w:sz w:val="16"/>
                <w:szCs w:val="16"/>
                <w:lang w:eastAsia="fr-BE"/>
              </w:rPr>
            </w:pPr>
            <w:r w:rsidRPr="009E2D9F">
              <w:rPr>
                <w:rFonts w:ascii="Arial" w:eastAsia="Times New Roman" w:hAnsi="Arial" w:cs="Arial"/>
                <w:color w:val="000000"/>
                <w:sz w:val="16"/>
                <w:szCs w:val="16"/>
                <w:lang w:eastAsia="fr-BE"/>
              </w:rPr>
              <w:t> </w:t>
            </w:r>
          </w:p>
        </w:tc>
        <w:tc>
          <w:tcPr>
            <w:tcW w:w="2835" w:type="dxa"/>
            <w:tcBorders>
              <w:top w:val="nil"/>
              <w:left w:val="single" w:sz="4" w:space="0" w:color="auto"/>
              <w:bottom w:val="single" w:sz="4" w:space="0" w:color="auto"/>
              <w:right w:val="single" w:sz="8" w:space="0" w:color="auto"/>
            </w:tcBorders>
            <w:shd w:val="clear" w:color="000000" w:fill="CCFFCC"/>
            <w:noWrap/>
            <w:vAlign w:val="center"/>
            <w:hideMark/>
          </w:tcPr>
          <w:p w14:paraId="0C69E9DB" w14:textId="77777777" w:rsidR="009E2D9F" w:rsidRPr="009E2D9F" w:rsidRDefault="009E2D9F" w:rsidP="009E2D9F">
            <w:pPr>
              <w:spacing w:after="0" w:line="240" w:lineRule="auto"/>
              <w:rPr>
                <w:rFonts w:ascii="Calibri" w:eastAsia="Times New Roman" w:hAnsi="Calibri" w:cs="Calibri"/>
                <w:color w:val="000000"/>
                <w:lang w:eastAsia="fr-BE"/>
              </w:rPr>
            </w:pPr>
            <w:r w:rsidRPr="009E2D9F">
              <w:rPr>
                <w:rFonts w:ascii="Calibri" w:eastAsia="Times New Roman" w:hAnsi="Calibri" w:cs="Calibri"/>
                <w:color w:val="000000"/>
                <w:lang w:eastAsia="fr-BE"/>
              </w:rPr>
              <w:t> </w:t>
            </w:r>
          </w:p>
        </w:tc>
      </w:tr>
    </w:tbl>
    <w:p w14:paraId="706370B3" w14:textId="1CD82A7D" w:rsidR="009E2D9F" w:rsidRDefault="002F11AD">
      <w:r>
        <w:t xml:space="preserve">* Pour identifier les substances, produits, liquides et autres classés selon le règlement CLP comme présentant un risque ou un danger envers la santé autre que corrosif et irritant, ou envers l’environnement autre que pour la couche d’ozone, les phrases H suivantes sont retenues : </w:t>
      </w:r>
    </w:p>
    <w:p w14:paraId="2BE2D095" w14:textId="3CA09601" w:rsidR="002F11AD" w:rsidRDefault="002F11AD">
      <w:pPr>
        <w:rPr>
          <w:lang w:val="nl-BE"/>
        </w:rPr>
      </w:pPr>
      <w:r w:rsidRPr="0040573A">
        <w:rPr>
          <w:lang w:val="nl-BE"/>
        </w:rPr>
        <w:t>* Voor het identificeren van substanties,</w:t>
      </w:r>
      <w:r>
        <w:rPr>
          <w:lang w:val="nl-BE"/>
        </w:rPr>
        <w:t xml:space="preserve"> producten, vloeistoffen en andere die volgens de CLP-verordening geklasseerd zijn als risico houdend of gevaarlijk voor de gezondheid, anders dan corrosief en irriterend, of voor het leefmilieu, anders dan voor de ozonlaag, worden de volgende H-zinnen weerhouden : </w:t>
      </w:r>
    </w:p>
    <w:p w14:paraId="77A7798E" w14:textId="720D6C8E" w:rsidR="002F11AD" w:rsidRPr="0040573A" w:rsidRDefault="002F11AD">
      <w:pPr>
        <w:rPr>
          <w:lang w:val="nl-BE"/>
        </w:rPr>
      </w:pPr>
      <w:r w:rsidRPr="0040573A">
        <w:rPr>
          <w:lang w:val="nl-BE"/>
        </w:rPr>
        <w:t>H300, H301, H302, H304, H310, H311, H312, H330, H331, H332, H334, H340, H341, H350, H350i, H351, H360, H360</w:t>
      </w:r>
      <w:r w:rsidR="0040573A" w:rsidRPr="0040573A">
        <w:rPr>
          <w:lang w:val="nl-BE"/>
        </w:rPr>
        <w:t>D; H360Df</w:t>
      </w:r>
      <w:r w:rsidR="0040573A">
        <w:rPr>
          <w:lang w:val="nl-BE"/>
        </w:rPr>
        <w:t>, H360F, H360Fd, H360FD, H361, H361d, H361f, H361fd, H362, H370, H371, H372, H373, H400, H410, H411, H412, H413</w:t>
      </w:r>
    </w:p>
    <w:sectPr w:rsidR="002F11AD" w:rsidRPr="0040573A" w:rsidSect="009E2D9F">
      <w:headerReference w:type="even" r:id="rId7"/>
      <w:headerReference w:type="default" r:id="rId8"/>
      <w:footerReference w:type="even" r:id="rId9"/>
      <w:footerReference w:type="default" r:id="rId10"/>
      <w:headerReference w:type="first" r:id="rId11"/>
      <w:footerReference w:type="firs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73D88" w14:textId="77777777" w:rsidR="003D427D" w:rsidRDefault="003D427D" w:rsidP="003D427D">
      <w:pPr>
        <w:spacing w:after="0" w:line="240" w:lineRule="auto"/>
      </w:pPr>
      <w:r>
        <w:separator/>
      </w:r>
    </w:p>
  </w:endnote>
  <w:endnote w:type="continuationSeparator" w:id="0">
    <w:p w14:paraId="60D07E06" w14:textId="77777777" w:rsidR="003D427D" w:rsidRDefault="003D427D" w:rsidP="003D4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D10BB" w14:textId="77777777" w:rsidR="003D427D" w:rsidRDefault="003D42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7346" w14:textId="47B968C7" w:rsidR="003D427D" w:rsidRPr="003D427D" w:rsidRDefault="003D427D" w:rsidP="003D427D">
    <w:pPr>
      <w:pStyle w:val="Footer"/>
    </w:pPr>
    <w:r>
      <w:t xml:space="preserve">Disclaimer : cette version consolidée est diffusée à titre informatif - </w:t>
    </w:r>
    <w:proofErr w:type="spellStart"/>
    <w:r>
      <w:t>d</w:t>
    </w:r>
    <w:r w:rsidRPr="003D427D">
      <w:t>eze</w:t>
    </w:r>
    <w:proofErr w:type="spellEnd"/>
    <w:r w:rsidRPr="003D427D">
      <w:t xml:space="preserve"> </w:t>
    </w:r>
    <w:proofErr w:type="spellStart"/>
    <w:r w:rsidRPr="003D427D">
      <w:t>geconsolideerde</w:t>
    </w:r>
    <w:proofErr w:type="spellEnd"/>
    <w:r w:rsidRPr="003D427D">
      <w:t xml:space="preserve"> </w:t>
    </w:r>
    <w:proofErr w:type="spellStart"/>
    <w:r w:rsidRPr="003D427D">
      <w:t>versie</w:t>
    </w:r>
    <w:proofErr w:type="spellEnd"/>
    <w:r w:rsidRPr="003D427D">
      <w:t xml:space="preserve"> </w:t>
    </w:r>
    <w:proofErr w:type="spellStart"/>
    <w:r w:rsidRPr="003D427D">
      <w:t>wordt</w:t>
    </w:r>
    <w:proofErr w:type="spellEnd"/>
    <w:r w:rsidRPr="003D427D">
      <w:t xml:space="preserve"> ter </w:t>
    </w:r>
    <w:proofErr w:type="spellStart"/>
    <w:r w:rsidRPr="003D427D">
      <w:t>informatie</w:t>
    </w:r>
    <w:proofErr w:type="spellEnd"/>
    <w:r w:rsidRPr="003D427D">
      <w:t xml:space="preserve"> </w:t>
    </w:r>
    <w:proofErr w:type="spellStart"/>
    <w:r w:rsidRPr="003D427D">
      <w:t>verspreid</w:t>
    </w:r>
    <w:proofErr w:type="spellEnd"/>
    <w:r w:rsidRPr="003D427D">
      <w:t>.</w:t>
    </w:r>
  </w:p>
  <w:p w14:paraId="189510A9" w14:textId="4BAC14FA" w:rsidR="003D427D" w:rsidRDefault="003D42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DA533" w14:textId="77777777" w:rsidR="003D427D" w:rsidRDefault="003D42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263DD" w14:textId="77777777" w:rsidR="003D427D" w:rsidRDefault="003D427D" w:rsidP="003D427D">
      <w:pPr>
        <w:spacing w:after="0" w:line="240" w:lineRule="auto"/>
      </w:pPr>
      <w:r>
        <w:separator/>
      </w:r>
    </w:p>
  </w:footnote>
  <w:footnote w:type="continuationSeparator" w:id="0">
    <w:p w14:paraId="747F3685" w14:textId="77777777" w:rsidR="003D427D" w:rsidRDefault="003D427D" w:rsidP="003D4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8719" w14:textId="77777777" w:rsidR="003D427D" w:rsidRDefault="003D42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65A2D" w14:textId="77777777" w:rsidR="003D427D" w:rsidRDefault="003D42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BC8C" w14:textId="77777777" w:rsidR="003D427D" w:rsidRDefault="003D42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08A9"/>
    <w:multiLevelType w:val="hybridMultilevel"/>
    <w:tmpl w:val="E13442DE"/>
    <w:lvl w:ilvl="0" w:tplc="3D928B14">
      <w:start w:val="45"/>
      <w:numFmt w:val="bullet"/>
      <w:lvlText w:val="-"/>
      <w:lvlJc w:val="left"/>
      <w:pPr>
        <w:ind w:left="360" w:hanging="360"/>
      </w:pPr>
      <w:rPr>
        <w:rFonts w:ascii="Arial" w:eastAsia="Times New Roman"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010256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D9F"/>
    <w:rsid w:val="001B4782"/>
    <w:rsid w:val="002A2412"/>
    <w:rsid w:val="002F11AD"/>
    <w:rsid w:val="003925D5"/>
    <w:rsid w:val="003D427D"/>
    <w:rsid w:val="0040573A"/>
    <w:rsid w:val="005F05DE"/>
    <w:rsid w:val="00643242"/>
    <w:rsid w:val="00684E5B"/>
    <w:rsid w:val="00900254"/>
    <w:rsid w:val="00950484"/>
    <w:rsid w:val="0097679F"/>
    <w:rsid w:val="009E2D9F"/>
    <w:rsid w:val="00A31750"/>
    <w:rsid w:val="00A50A67"/>
    <w:rsid w:val="00A56B19"/>
    <w:rsid w:val="00D217B1"/>
    <w:rsid w:val="00D62470"/>
    <w:rsid w:val="00D63286"/>
    <w:rsid w:val="00DB01CF"/>
    <w:rsid w:val="00DF3998"/>
    <w:rsid w:val="00F6392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6341E"/>
  <w15:chartTrackingRefBased/>
  <w15:docId w15:val="{10FB2499-8150-474D-902A-B1FC4729F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679F"/>
    <w:pPr>
      <w:spacing w:after="0" w:line="240" w:lineRule="auto"/>
    </w:pPr>
  </w:style>
  <w:style w:type="paragraph" w:styleId="ListParagraph">
    <w:name w:val="List Paragraph"/>
    <w:basedOn w:val="Normal"/>
    <w:uiPriority w:val="34"/>
    <w:qFormat/>
    <w:rsid w:val="00DF3998"/>
    <w:pPr>
      <w:ind w:left="720"/>
      <w:contextualSpacing/>
    </w:pPr>
  </w:style>
  <w:style w:type="paragraph" w:customStyle="1" w:styleId="Standard">
    <w:name w:val="Standard"/>
    <w:rsid w:val="00900254"/>
    <w:pPr>
      <w:suppressAutoHyphens/>
      <w:autoSpaceDN w:val="0"/>
      <w:spacing w:after="0" w:line="200" w:lineRule="exact"/>
      <w:textAlignment w:val="baseline"/>
    </w:pPr>
    <w:rPr>
      <w:rFonts w:ascii="Times New Roman" w:eastAsia="Times New Roman" w:hAnsi="Times New Roman" w:cs="Times New Roman"/>
      <w:kern w:val="3"/>
      <w:sz w:val="18"/>
      <w:szCs w:val="24"/>
      <w:lang w:val="en-US" w:eastAsia="ar-SA"/>
    </w:rPr>
  </w:style>
  <w:style w:type="paragraph" w:styleId="Header">
    <w:name w:val="header"/>
    <w:basedOn w:val="Normal"/>
    <w:link w:val="HeaderChar"/>
    <w:uiPriority w:val="99"/>
    <w:unhideWhenUsed/>
    <w:rsid w:val="003D42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427D"/>
  </w:style>
  <w:style w:type="paragraph" w:styleId="Footer">
    <w:name w:val="footer"/>
    <w:basedOn w:val="Normal"/>
    <w:link w:val="FooterChar"/>
    <w:uiPriority w:val="99"/>
    <w:unhideWhenUsed/>
    <w:rsid w:val="003D42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4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21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9227</Words>
  <Characters>50751</Characters>
  <Application>Microsoft Office Word</Application>
  <DocSecurity>0</DocSecurity>
  <Lines>422</Lines>
  <Paragraphs>119</Paragraphs>
  <ScaleCrop>false</ScaleCrop>
  <HeadingPairs>
    <vt:vector size="2" baseType="variant">
      <vt:variant>
        <vt:lpstr>Titel</vt:lpstr>
      </vt:variant>
      <vt:variant>
        <vt:i4>1</vt:i4>
      </vt:variant>
    </vt:vector>
  </HeadingPairs>
  <TitlesOfParts>
    <vt:vector size="1" baseType="lpstr">
      <vt:lpstr/>
    </vt:vector>
  </TitlesOfParts>
  <Company>Bruxelles-Environnement - Leefmilieu Brussels</Company>
  <LinksUpToDate>false</LinksUpToDate>
  <CharactersWithSpaces>59859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SCHOKKAERT Anna</dc:creator>
  <cp:keywords/>
  <dc:description/>
  <cp:lastModifiedBy>DULIERE Aurélie</cp:lastModifiedBy>
  <cp:revision>2</cp:revision>
  <dcterms:created xsi:type="dcterms:W3CDTF">2026-04-02T13:29:00Z</dcterms:created>
  <dcterms:modified xsi:type="dcterms:W3CDTF">2026-04-02T13:29:00Z</dcterms:modified>
</cp:coreProperties>
</file>