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B725" w14:textId="77777777" w:rsidR="00B3534C" w:rsidRDefault="00B3534C">
      <w:pPr>
        <w:pStyle w:val="BodyText"/>
        <w:spacing w:before="284"/>
        <w:ind w:left="0"/>
        <w:jc w:val="left"/>
        <w:rPr>
          <w:rFonts w:ascii="Times New Roman"/>
          <w:sz w:val="36"/>
        </w:rPr>
      </w:pPr>
    </w:p>
    <w:p w14:paraId="1FA1F7F6" w14:textId="77777777" w:rsidR="00B3534C" w:rsidRDefault="00B625F0">
      <w:pPr>
        <w:pStyle w:val="Title"/>
      </w:pPr>
      <w:r>
        <w:rPr>
          <w:color w:val="005B82"/>
        </w:rPr>
        <w:t xml:space="preserve">Addendum E2 -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le</w:t>
      </w:r>
      <w:proofErr w:type="spellEnd"/>
      <w:r>
        <w:rPr>
          <w:color w:val="005B82"/>
        </w:rPr>
        <w:t xml:space="preserve"> </w:t>
      </w:r>
      <w:r>
        <w:rPr>
          <w:color w:val="005B82"/>
          <w:spacing w:val="-2"/>
        </w:rPr>
        <w:t>sol</w:t>
      </w:r>
    </w:p>
    <w:p w14:paraId="23B252F7" w14:textId="77777777" w:rsidR="00B3534C" w:rsidRDefault="00B625F0">
      <w:pPr>
        <w:pStyle w:val="Heading1"/>
        <w:tabs>
          <w:tab w:val="left" w:pos="1193"/>
        </w:tabs>
        <w:spacing w:before="305"/>
        <w:ind w:left="116" w:firstLine="0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>1:</w:t>
      </w:r>
      <w:r>
        <w:rPr>
          <w:color w:val="005B82"/>
        </w:rPr>
        <w:tab/>
      </w:r>
      <w:proofErr w:type="spellStart"/>
      <w:r>
        <w:rPr>
          <w:color w:val="005B82"/>
        </w:rPr>
        <w:t>Décrire</w:t>
      </w:r>
      <w:proofErr w:type="spellEnd"/>
      <w:r>
        <w:rPr>
          <w:color w:val="005B82"/>
        </w:rPr>
        <w:t xml:space="preserve"> les sources </w:t>
      </w:r>
      <w:proofErr w:type="spellStart"/>
      <w:r>
        <w:rPr>
          <w:color w:val="005B82"/>
        </w:rPr>
        <w:t>d'émissions</w:t>
      </w:r>
      <w:proofErr w:type="spellEnd"/>
      <w:r>
        <w:rPr>
          <w:color w:val="005B82"/>
        </w:rPr>
        <w:t xml:space="preserve"> dans </w:t>
      </w:r>
      <w:proofErr w:type="spellStart"/>
      <w:r>
        <w:rPr>
          <w:color w:val="005B82"/>
        </w:rPr>
        <w:t>le</w:t>
      </w:r>
      <w:proofErr w:type="spellEnd"/>
      <w:r>
        <w:rPr>
          <w:color w:val="005B82"/>
        </w:rPr>
        <w:t xml:space="preserve"> </w:t>
      </w:r>
      <w:r>
        <w:rPr>
          <w:color w:val="005B82"/>
          <w:spacing w:val="-2"/>
        </w:rPr>
        <w:t>sol</w:t>
      </w:r>
    </w:p>
    <w:p w14:paraId="0B2582DC" w14:textId="77777777" w:rsidR="00B3534C" w:rsidRDefault="00B625F0">
      <w:pPr>
        <w:pStyle w:val="BodyText"/>
        <w:spacing w:before="157" w:line="276" w:lineRule="auto"/>
        <w:ind w:right="114"/>
      </w:pPr>
      <w:r>
        <w:t xml:space="preserve">La </w:t>
      </w:r>
      <w:proofErr w:type="spellStart"/>
      <w:r>
        <w:t>section</w:t>
      </w:r>
      <w:proofErr w:type="spellEnd"/>
      <w:r>
        <w:t xml:space="preserve"> 8.5.4 de </w:t>
      </w:r>
      <w:proofErr w:type="spellStart"/>
      <w:r>
        <w:t>l'EIE</w:t>
      </w:r>
      <w:proofErr w:type="spellEnd"/>
      <w:r>
        <w:t xml:space="preserve"> présente les ressources en </w:t>
      </w:r>
      <w:proofErr w:type="spellStart"/>
      <w:r>
        <w:t>matière</w:t>
      </w:r>
      <w:proofErr w:type="spellEnd"/>
      <w:r>
        <w:t xml:space="preserve"> de santé des sols pour </w:t>
      </w:r>
      <w:proofErr w:type="spellStart"/>
      <w:r>
        <w:t>l'ensemble</w:t>
      </w:r>
      <w:proofErr w:type="spellEnd"/>
      <w:r>
        <w:t xml:space="preserve"> du site.</w:t>
      </w:r>
    </w:p>
    <w:p w14:paraId="3919DD15" w14:textId="77777777" w:rsidR="00B3534C" w:rsidRDefault="00B625F0">
      <w:pPr>
        <w:pStyle w:val="BodyText"/>
      </w:pPr>
      <w:r>
        <w:t xml:space="preserve">Plus </w:t>
      </w:r>
      <w:proofErr w:type="spellStart"/>
      <w:r>
        <w:t>précisément</w:t>
      </w:r>
      <w:proofErr w:type="spellEnd"/>
      <w:r>
        <w:t xml:space="preserve">, les sources </w:t>
      </w:r>
      <w:proofErr w:type="spellStart"/>
      <w:r>
        <w:t>d'émissions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rPr>
          <w:spacing w:val="-6"/>
        </w:rPr>
        <w:t>résumées</w:t>
      </w:r>
      <w:proofErr w:type="spellEnd"/>
      <w:r>
        <w:rPr>
          <w:spacing w:val="-6"/>
        </w:rPr>
        <w:t xml:space="preserve"> </w:t>
      </w:r>
      <w:r>
        <w:t xml:space="preserve">comme </w:t>
      </w:r>
      <w:proofErr w:type="spellStart"/>
      <w:r>
        <w:t>suit</w:t>
      </w:r>
      <w:proofErr w:type="spellEnd"/>
      <w:r>
        <w:t xml:space="preserve"> </w:t>
      </w:r>
      <w:r>
        <w:rPr>
          <w:spacing w:val="-2"/>
        </w:rPr>
        <w:t>:</w:t>
      </w:r>
    </w:p>
    <w:p w14:paraId="30433A15" w14:textId="77777777" w:rsidR="00B3534C" w:rsidRDefault="00B625F0">
      <w:pPr>
        <w:pStyle w:val="ListParagraph"/>
        <w:numPr>
          <w:ilvl w:val="0"/>
          <w:numId w:val="1"/>
        </w:numPr>
        <w:tabs>
          <w:tab w:val="left" w:pos="1554"/>
        </w:tabs>
        <w:spacing w:before="157"/>
        <w:ind w:left="1554" w:right="0" w:hanging="359"/>
        <w:rPr>
          <w:sz w:val="20"/>
        </w:rPr>
      </w:pPr>
      <w:proofErr w:type="spellStart"/>
      <w:r>
        <w:rPr>
          <w:sz w:val="20"/>
        </w:rPr>
        <w:t>Tous</w:t>
      </w:r>
      <w:proofErr w:type="spellEnd"/>
      <w:r>
        <w:rPr>
          <w:sz w:val="20"/>
        </w:rPr>
        <w:t xml:space="preserve"> les réservoirs de stockage (</w:t>
      </w:r>
      <w:proofErr w:type="spellStart"/>
      <w:r>
        <w:rPr>
          <w:sz w:val="20"/>
        </w:rPr>
        <w:t>aériens</w:t>
      </w:r>
      <w:proofErr w:type="spellEnd"/>
      <w:r>
        <w:rPr>
          <w:sz w:val="20"/>
        </w:rPr>
        <w:t xml:space="preserve"> et souterrains) de </w:t>
      </w:r>
      <w:proofErr w:type="spellStart"/>
      <w:r>
        <w:rPr>
          <w:spacing w:val="-2"/>
          <w:sz w:val="20"/>
        </w:rPr>
        <w:t>produits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danger</w:t>
      </w:r>
      <w:r>
        <w:rPr>
          <w:sz w:val="20"/>
        </w:rPr>
        <w:t>eux</w:t>
      </w:r>
      <w:proofErr w:type="spellEnd"/>
    </w:p>
    <w:p w14:paraId="1E180E19" w14:textId="77777777" w:rsidR="00B3534C" w:rsidRDefault="00B625F0">
      <w:pPr>
        <w:pStyle w:val="ListParagraph"/>
        <w:numPr>
          <w:ilvl w:val="0"/>
          <w:numId w:val="1"/>
        </w:numPr>
        <w:tabs>
          <w:tab w:val="left" w:pos="1554"/>
        </w:tabs>
        <w:spacing w:before="36"/>
        <w:ind w:left="1554" w:right="0" w:hanging="359"/>
        <w:rPr>
          <w:sz w:val="20"/>
        </w:rPr>
      </w:pPr>
      <w:proofErr w:type="spellStart"/>
      <w:r>
        <w:rPr>
          <w:sz w:val="20"/>
        </w:rPr>
        <w:t>Tout</w:t>
      </w:r>
      <w:proofErr w:type="spellEnd"/>
      <w:r>
        <w:rPr>
          <w:sz w:val="20"/>
        </w:rPr>
        <w:t xml:space="preserve"> stockage de </w:t>
      </w:r>
      <w:proofErr w:type="spellStart"/>
      <w:r>
        <w:rPr>
          <w:sz w:val="20"/>
        </w:rPr>
        <w:t>produits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dangereux</w:t>
      </w:r>
      <w:proofErr w:type="spellEnd"/>
      <w:r>
        <w:rPr>
          <w:sz w:val="20"/>
        </w:rPr>
        <w:t xml:space="preserve"> dans des </w:t>
      </w:r>
      <w:proofErr w:type="spellStart"/>
      <w:r>
        <w:rPr>
          <w:sz w:val="20"/>
        </w:rPr>
        <w:t>conteneurs</w:t>
      </w:r>
      <w:proofErr w:type="spellEnd"/>
      <w:r>
        <w:rPr>
          <w:sz w:val="20"/>
        </w:rPr>
        <w:t xml:space="preserve"> mobiles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fûts</w:t>
      </w:r>
      <w:proofErr w:type="spellEnd"/>
      <w:r>
        <w:rPr>
          <w:spacing w:val="-2"/>
          <w:sz w:val="20"/>
        </w:rPr>
        <w:t>).</w:t>
      </w:r>
    </w:p>
    <w:p w14:paraId="1BE1A016" w14:textId="77777777" w:rsidR="00B3534C" w:rsidRDefault="00B625F0">
      <w:pPr>
        <w:pStyle w:val="ListParagraph"/>
        <w:numPr>
          <w:ilvl w:val="0"/>
          <w:numId w:val="1"/>
        </w:numPr>
        <w:tabs>
          <w:tab w:val="left" w:pos="1555"/>
        </w:tabs>
        <w:spacing w:before="37" w:line="276" w:lineRule="auto"/>
        <w:ind w:left="1555"/>
        <w:rPr>
          <w:sz w:val="20"/>
        </w:rPr>
      </w:pPr>
      <w:proofErr w:type="spellStart"/>
      <w:r>
        <w:rPr>
          <w:sz w:val="20"/>
        </w:rPr>
        <w:t>Tous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endroits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l'on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manipule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produits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dangereux</w:t>
      </w:r>
      <w:proofErr w:type="spellEnd"/>
      <w:r>
        <w:rPr>
          <w:sz w:val="20"/>
        </w:rPr>
        <w:t xml:space="preserve"> : </w:t>
      </w:r>
      <w:proofErr w:type="spellStart"/>
      <w:r>
        <w:rPr>
          <w:sz w:val="20"/>
        </w:rPr>
        <w:t>cela</w:t>
      </w:r>
      <w:proofErr w:type="spellEnd"/>
      <w:r>
        <w:rPr>
          <w:sz w:val="20"/>
        </w:rPr>
        <w:t xml:space="preserve"> va du </w:t>
      </w:r>
      <w:proofErr w:type="spellStart"/>
      <w:r>
        <w:rPr>
          <w:sz w:val="20"/>
        </w:rPr>
        <w:t>remplissage</w:t>
      </w:r>
      <w:proofErr w:type="spellEnd"/>
      <w:r>
        <w:rPr>
          <w:sz w:val="20"/>
        </w:rPr>
        <w:t xml:space="preserve"> des réservoirs de </w:t>
      </w:r>
      <w:proofErr w:type="spellStart"/>
      <w:r>
        <w:rPr>
          <w:sz w:val="20"/>
        </w:rPr>
        <w:t>carburant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l'application</w:t>
      </w:r>
      <w:proofErr w:type="spellEnd"/>
      <w:r>
        <w:rPr>
          <w:sz w:val="20"/>
        </w:rPr>
        <w:t xml:space="preserve"> de liquide de </w:t>
      </w:r>
      <w:proofErr w:type="spellStart"/>
      <w:r>
        <w:rPr>
          <w:sz w:val="20"/>
        </w:rPr>
        <w:t>dégivrage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sur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avions</w:t>
      </w:r>
      <w:proofErr w:type="spellEnd"/>
      <w:r>
        <w:rPr>
          <w:sz w:val="20"/>
        </w:rPr>
        <w:t>.</w:t>
      </w:r>
    </w:p>
    <w:p w14:paraId="39C73F03" w14:textId="77777777" w:rsidR="00B3534C" w:rsidRDefault="00B625F0">
      <w:pPr>
        <w:pStyle w:val="BodyText"/>
        <w:spacing w:line="276" w:lineRule="auto"/>
        <w:ind w:right="115"/>
      </w:pPr>
      <w:r>
        <w:t xml:space="preserve">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 de permis </w:t>
      </w:r>
      <w:proofErr w:type="spellStart"/>
      <w:r>
        <w:t>d'environnement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 les sites de stockage (</w:t>
      </w:r>
      <w:proofErr w:type="spellStart"/>
      <w:r>
        <w:t>ou</w:t>
      </w:r>
      <w:proofErr w:type="spellEnd"/>
      <w:r>
        <w:t xml:space="preserve"> sources) ne font pas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l'objet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l'addendum</w:t>
      </w:r>
      <w:proofErr w:type="spellEnd"/>
      <w:r>
        <w:t xml:space="preserve"> C1 "</w:t>
      </w:r>
      <w:proofErr w:type="spellStart"/>
      <w:r>
        <w:t>objet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" et C7). Les </w:t>
      </w:r>
      <w:r>
        <w:rPr>
          <w:spacing w:val="-2"/>
        </w:rPr>
        <w:t xml:space="preserve">sources </w:t>
      </w:r>
      <w:proofErr w:type="spellStart"/>
      <w:r>
        <w:rPr>
          <w:spacing w:val="-2"/>
        </w:rPr>
        <w:t>d'émission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sont</w:t>
      </w:r>
      <w:proofErr w:type="spellEnd"/>
      <w:r>
        <w:rPr>
          <w:spacing w:val="-2"/>
        </w:rPr>
        <w:t xml:space="preserve"> des sources </w:t>
      </w:r>
      <w:proofErr w:type="spellStart"/>
      <w:r>
        <w:rPr>
          <w:spacing w:val="-2"/>
        </w:rPr>
        <w:t>d'émission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existantes</w:t>
      </w:r>
      <w:proofErr w:type="spellEnd"/>
      <w:r>
        <w:rPr>
          <w:spacing w:val="-2"/>
        </w:rPr>
        <w:t xml:space="preserve">, les </w:t>
      </w:r>
      <w:proofErr w:type="spellStart"/>
      <w:r>
        <w:rPr>
          <w:spacing w:val="-2"/>
        </w:rPr>
        <w:t>changements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inclus</w:t>
      </w:r>
      <w:proofErr w:type="spellEnd"/>
      <w:r>
        <w:rPr>
          <w:spacing w:val="-2"/>
        </w:rPr>
        <w:t xml:space="preserve"> dans </w:t>
      </w:r>
      <w:proofErr w:type="spellStart"/>
      <w:r>
        <w:rPr>
          <w:spacing w:val="-2"/>
        </w:rPr>
        <w:t>l'o</w:t>
      </w:r>
      <w:r>
        <w:rPr>
          <w:spacing w:val="-2"/>
        </w:rPr>
        <w:t>bjet</w:t>
      </w:r>
      <w:proofErr w:type="spellEnd"/>
      <w:r>
        <w:rPr>
          <w:spacing w:val="-2"/>
        </w:rPr>
        <w:t xml:space="preserve"> de </w:t>
      </w:r>
      <w:r>
        <w:t xml:space="preserve">la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des mises à jour des </w:t>
      </w:r>
      <w:proofErr w:type="spellStart"/>
      <w:r>
        <w:t>quantités</w:t>
      </w:r>
      <w:proofErr w:type="spellEnd"/>
      <w:r>
        <w:t xml:space="preserve"> dans les </w:t>
      </w:r>
      <w:proofErr w:type="spellStart"/>
      <w:r>
        <w:t>conteneurs</w:t>
      </w:r>
      <w:proofErr w:type="spellEnd"/>
      <w:r>
        <w:t xml:space="preserve"> mobiles et les réservoirs de stockage ; </w:t>
      </w:r>
      <w:proofErr w:type="spellStart"/>
      <w:r>
        <w:t>il</w:t>
      </w:r>
      <w:proofErr w:type="spellEnd"/>
      <w:r>
        <w:t xml:space="preserve"> y a 4 nouveaux réservoirs de stockage de </w:t>
      </w:r>
      <w:proofErr w:type="spellStart"/>
      <w:r>
        <w:t>gasoil</w:t>
      </w:r>
      <w:proofErr w:type="spellEnd"/>
      <w:r>
        <w:t>.</w:t>
      </w:r>
    </w:p>
    <w:p w14:paraId="2BC939D2" w14:textId="77777777" w:rsidR="00B3534C" w:rsidRDefault="00B625F0">
      <w:pPr>
        <w:pStyle w:val="BodyText"/>
        <w:spacing w:line="276" w:lineRule="auto"/>
        <w:ind w:right="113"/>
      </w:pPr>
      <w:r>
        <w:t xml:space="preserve">Les PFAS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spécifiquement</w:t>
      </w:r>
      <w:proofErr w:type="spellEnd"/>
      <w:r>
        <w:t xml:space="preserve"> </w:t>
      </w:r>
      <w:proofErr w:type="spellStart"/>
      <w:r>
        <w:t>mentionnés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l'attention</w:t>
      </w:r>
      <w:proofErr w:type="spellEnd"/>
      <w:r>
        <w:t xml:space="preserve"> générale portée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grou</w:t>
      </w:r>
      <w:r>
        <w:t>pe</w:t>
      </w:r>
      <w:proofErr w:type="spellEnd"/>
      <w:r>
        <w:t xml:space="preserve"> de </w:t>
      </w:r>
      <w:proofErr w:type="spellStart"/>
      <w:r>
        <w:t>polluants</w:t>
      </w:r>
      <w:proofErr w:type="spellEnd"/>
      <w:r>
        <w:t xml:space="preserve">.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régulières</w:t>
      </w:r>
      <w:proofErr w:type="spellEnd"/>
      <w:r>
        <w:t xml:space="preserve"> </w:t>
      </w:r>
      <w:proofErr w:type="spellStart"/>
      <w:r>
        <w:t>menées</w:t>
      </w:r>
      <w:proofErr w:type="spellEnd"/>
      <w:r>
        <w:t xml:space="preserve"> à </w:t>
      </w:r>
      <w:proofErr w:type="spellStart"/>
      <w:r>
        <w:t>l'aéroport</w:t>
      </w:r>
      <w:proofErr w:type="spellEnd"/>
      <w:r>
        <w:t xml:space="preserve"> de Bruxelles-National </w:t>
      </w:r>
      <w:proofErr w:type="spellStart"/>
      <w:r>
        <w:t>n'impliquent</w:t>
      </w:r>
      <w:proofErr w:type="spellEnd"/>
      <w:r>
        <w:t xml:space="preserve"> pas </w:t>
      </w:r>
      <w:proofErr w:type="spellStart"/>
      <w:r>
        <w:t>l'utilisation</w:t>
      </w:r>
      <w:proofErr w:type="spellEnd"/>
      <w:r>
        <w:t xml:space="preserve"> de PFOS/PFAS et, en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termes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pas de source de </w:t>
      </w:r>
      <w:proofErr w:type="spellStart"/>
      <w:r>
        <w:t>contamination</w:t>
      </w:r>
      <w:proofErr w:type="spellEnd"/>
      <w:r>
        <w:t xml:space="preserve"> par les PFAS. </w:t>
      </w:r>
      <w:proofErr w:type="spellStart"/>
      <w:r>
        <w:t>Toutefois</w:t>
      </w:r>
      <w:proofErr w:type="spellEnd"/>
      <w:r>
        <w:t xml:space="preserve">, la </w:t>
      </w:r>
      <w:proofErr w:type="spellStart"/>
      <w:r>
        <w:t>présence</w:t>
      </w:r>
      <w:proofErr w:type="spellEnd"/>
      <w:r>
        <w:t xml:space="preserve"> de PFAS dans </w:t>
      </w:r>
      <w:proofErr w:type="spellStart"/>
      <w:r>
        <w:t>le</w:t>
      </w:r>
      <w:proofErr w:type="spellEnd"/>
      <w:r>
        <w:t xml:space="preserve"> sol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</w:t>
      </w:r>
      <w:r>
        <w:t>onfirmée</w:t>
      </w:r>
      <w:proofErr w:type="spellEnd"/>
      <w:r>
        <w:t xml:space="preserve"> et </w:t>
      </w:r>
      <w:proofErr w:type="spellStart"/>
      <w:r>
        <w:t>nécessite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à </w:t>
      </w:r>
      <w:proofErr w:type="spellStart"/>
      <w:r>
        <w:t>l'avenir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ci-dessous).</w:t>
      </w:r>
    </w:p>
    <w:p w14:paraId="61BBFE0F" w14:textId="77777777" w:rsidR="00B3534C" w:rsidRDefault="00B625F0">
      <w:pPr>
        <w:pStyle w:val="Heading1"/>
        <w:tabs>
          <w:tab w:val="left" w:pos="1194"/>
        </w:tabs>
        <w:spacing w:before="241" w:line="276" w:lineRule="auto"/>
        <w:ind w:right="114"/>
      </w:pPr>
      <w:r>
        <w:rPr>
          <w:color w:val="005B82"/>
        </w:rPr>
        <w:t>Question 2 :</w:t>
      </w:r>
      <w:r>
        <w:rPr>
          <w:color w:val="005B82"/>
        </w:rPr>
        <w:tab/>
      </w:r>
      <w:proofErr w:type="spellStart"/>
      <w:r>
        <w:rPr>
          <w:color w:val="005B82"/>
        </w:rPr>
        <w:t>Précisez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lesmesures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utilisées</w:t>
      </w:r>
      <w:proofErr w:type="spellEnd"/>
      <w:r>
        <w:rPr>
          <w:color w:val="005B82"/>
        </w:rPr>
        <w:t xml:space="preserve"> pour </w:t>
      </w:r>
      <w:proofErr w:type="spellStart"/>
      <w:r>
        <w:rPr>
          <w:color w:val="005B82"/>
        </w:rPr>
        <w:t>prévenir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  <w:spacing w:val="-2"/>
        </w:rPr>
        <w:t>atténuer</w:t>
      </w:r>
      <w:proofErr w:type="spellEnd"/>
      <w:r>
        <w:rPr>
          <w:color w:val="005B82"/>
          <w:spacing w:val="-2"/>
        </w:rPr>
        <w:t xml:space="preserve"> les </w:t>
      </w:r>
      <w:proofErr w:type="spellStart"/>
      <w:r>
        <w:rPr>
          <w:color w:val="005B82"/>
        </w:rPr>
        <w:t>incidences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le</w:t>
      </w:r>
      <w:proofErr w:type="spellEnd"/>
      <w:r>
        <w:rPr>
          <w:color w:val="005B82"/>
        </w:rPr>
        <w:t xml:space="preserve"> sol.</w:t>
      </w:r>
    </w:p>
    <w:p w14:paraId="040E7E50" w14:textId="77777777" w:rsidR="00B3534C" w:rsidRDefault="00B625F0">
      <w:pPr>
        <w:spacing w:before="120"/>
        <w:ind w:left="1193"/>
        <w:rPr>
          <w:i/>
          <w:sz w:val="20"/>
        </w:rPr>
      </w:pPr>
      <w:proofErr w:type="spellStart"/>
      <w:r>
        <w:rPr>
          <w:i/>
          <w:sz w:val="20"/>
          <w:u w:val="single"/>
        </w:rPr>
        <w:t>Mesures</w:t>
      </w:r>
      <w:proofErr w:type="spellEnd"/>
      <w:r>
        <w:rPr>
          <w:i/>
          <w:sz w:val="20"/>
          <w:u w:val="single"/>
        </w:rPr>
        <w:t xml:space="preserve"> sous </w:t>
      </w:r>
      <w:proofErr w:type="spellStart"/>
      <w:r>
        <w:rPr>
          <w:i/>
          <w:spacing w:val="-2"/>
          <w:sz w:val="20"/>
          <w:u w:val="single"/>
        </w:rPr>
        <w:t>Vlarem</w:t>
      </w:r>
      <w:proofErr w:type="spellEnd"/>
    </w:p>
    <w:p w14:paraId="3B107604" w14:textId="77777777" w:rsidR="00B3534C" w:rsidRDefault="00B625F0">
      <w:pPr>
        <w:pStyle w:val="BodyText"/>
        <w:spacing w:before="140" w:line="259" w:lineRule="auto"/>
        <w:ind w:right="116"/>
      </w:pPr>
      <w:r>
        <w:t xml:space="preserve">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déployées</w:t>
      </w:r>
      <w:proofErr w:type="spellEnd"/>
      <w:r>
        <w:t xml:space="preserve"> pour </w:t>
      </w:r>
      <w:proofErr w:type="spellStart"/>
      <w:r>
        <w:t>prévenir</w:t>
      </w:r>
      <w:proofErr w:type="spellEnd"/>
      <w:r>
        <w:t xml:space="preserve">, </w:t>
      </w:r>
      <w:proofErr w:type="spellStart"/>
      <w:r>
        <w:t>contrôler</w:t>
      </w:r>
      <w:proofErr w:type="spellEnd"/>
      <w:r>
        <w:t xml:space="preserve"> et </w:t>
      </w:r>
      <w:proofErr w:type="spellStart"/>
      <w:r>
        <w:t>atténuer</w:t>
      </w:r>
      <w:proofErr w:type="spellEnd"/>
      <w:r>
        <w:t xml:space="preserve"> les impacts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résumées</w:t>
      </w:r>
      <w:proofErr w:type="spellEnd"/>
      <w:r>
        <w:t xml:space="preserve"> ci-dessous. Des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donnés</w:t>
      </w:r>
      <w:proofErr w:type="spellEnd"/>
      <w:r>
        <w:t xml:space="preserve"> pour les </w:t>
      </w:r>
      <w:proofErr w:type="spellStart"/>
      <w:r>
        <w:t>installations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font </w:t>
      </w:r>
      <w:proofErr w:type="spellStart"/>
      <w:r>
        <w:t>l'objet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>.</w:t>
      </w:r>
    </w:p>
    <w:p w14:paraId="018C3EB7" w14:textId="77777777" w:rsidR="00B3534C" w:rsidRDefault="00B625F0">
      <w:pPr>
        <w:pStyle w:val="ListParagraph"/>
        <w:numPr>
          <w:ilvl w:val="0"/>
          <w:numId w:val="1"/>
        </w:numPr>
        <w:tabs>
          <w:tab w:val="left" w:pos="1555"/>
        </w:tabs>
        <w:spacing w:before="118" w:line="259" w:lineRule="auto"/>
        <w:ind w:left="1555" w:right="115"/>
        <w:rPr>
          <w:sz w:val="20"/>
        </w:rPr>
      </w:pPr>
      <w:r>
        <w:rPr>
          <w:sz w:val="20"/>
        </w:rPr>
        <w:t xml:space="preserve">Les réservoirs de stockage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conformes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conditions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générales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et </w:t>
      </w:r>
      <w:proofErr w:type="spellStart"/>
      <w:r>
        <w:rPr>
          <w:sz w:val="20"/>
        </w:rPr>
        <w:t>sectorielles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Vlarem</w:t>
      </w:r>
      <w:proofErr w:type="spellEnd"/>
      <w:r>
        <w:rPr>
          <w:sz w:val="20"/>
        </w:rPr>
        <w:t xml:space="preserve"> II </w:t>
      </w:r>
      <w:proofErr w:type="spellStart"/>
      <w:r>
        <w:rPr>
          <w:sz w:val="20"/>
        </w:rPr>
        <w:t>applicables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 xml:space="preserve">au </w:t>
      </w:r>
      <w:proofErr w:type="spellStart"/>
      <w:r>
        <w:rPr>
          <w:sz w:val="20"/>
        </w:rPr>
        <w:t>produit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qu'ils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1"/>
          <w:sz w:val="20"/>
        </w:rPr>
        <w:t>contiennent</w:t>
      </w:r>
      <w:proofErr w:type="spellEnd"/>
      <w:r>
        <w:rPr>
          <w:sz w:val="20"/>
        </w:rPr>
        <w:t xml:space="preserve">. Les 4 réservoirs de stockage </w:t>
      </w:r>
      <w:proofErr w:type="spellStart"/>
      <w:r>
        <w:rPr>
          <w:sz w:val="20"/>
        </w:rPr>
        <w:t>supplémentaires</w:t>
      </w:r>
      <w:proofErr w:type="spellEnd"/>
      <w:r>
        <w:rPr>
          <w:sz w:val="20"/>
        </w:rPr>
        <w:t xml:space="preserve"> pour </w:t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gasoil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des réservoirs hors sol à double </w:t>
      </w:r>
      <w:proofErr w:type="spellStart"/>
      <w:r>
        <w:rPr>
          <w:sz w:val="20"/>
        </w:rPr>
        <w:t>paroi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avec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contre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débordements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détection</w:t>
      </w:r>
      <w:proofErr w:type="spellEnd"/>
      <w:r>
        <w:rPr>
          <w:sz w:val="20"/>
        </w:rPr>
        <w:t xml:space="preserve"> permanente des </w:t>
      </w:r>
      <w:proofErr w:type="spellStart"/>
      <w:r>
        <w:rPr>
          <w:sz w:val="20"/>
        </w:rPr>
        <w:t>fuites</w:t>
      </w:r>
      <w:proofErr w:type="spellEnd"/>
      <w:r>
        <w:rPr>
          <w:sz w:val="20"/>
        </w:rPr>
        <w:t xml:space="preserve">. Les </w:t>
      </w:r>
      <w:r>
        <w:rPr>
          <w:sz w:val="20"/>
        </w:rPr>
        <w:t xml:space="preserve">réservoirs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conformément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règles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distance</w:t>
      </w:r>
      <w:proofErr w:type="spellEnd"/>
      <w:r>
        <w:rPr>
          <w:sz w:val="20"/>
        </w:rPr>
        <w:t xml:space="preserve"> à au </w:t>
      </w:r>
      <w:proofErr w:type="spellStart"/>
      <w:r>
        <w:rPr>
          <w:sz w:val="20"/>
        </w:rPr>
        <w:t>moins</w:t>
      </w:r>
      <w:proofErr w:type="spellEnd"/>
      <w:r>
        <w:rPr>
          <w:sz w:val="20"/>
        </w:rPr>
        <w:t xml:space="preserve"> 3 m des </w:t>
      </w:r>
      <w:proofErr w:type="spellStart"/>
      <w:r>
        <w:rPr>
          <w:sz w:val="20"/>
        </w:rPr>
        <w:t>limites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parcelle</w:t>
      </w:r>
      <w:proofErr w:type="spellEnd"/>
      <w:r>
        <w:rPr>
          <w:sz w:val="20"/>
        </w:rPr>
        <w:t>.</w:t>
      </w:r>
    </w:p>
    <w:p w14:paraId="7C4E9BFD" w14:textId="77777777" w:rsidR="00B3534C" w:rsidRDefault="00B625F0">
      <w:pPr>
        <w:pStyle w:val="ListParagraph"/>
        <w:numPr>
          <w:ilvl w:val="0"/>
          <w:numId w:val="1"/>
        </w:numPr>
        <w:tabs>
          <w:tab w:val="left" w:pos="1555"/>
        </w:tabs>
        <w:spacing w:line="259" w:lineRule="auto"/>
        <w:ind w:left="1555" w:right="116"/>
        <w:rPr>
          <w:sz w:val="20"/>
        </w:rPr>
      </w:pPr>
      <w:r>
        <w:rPr>
          <w:sz w:val="20"/>
        </w:rPr>
        <w:t xml:space="preserve">Les réservoirs de stockage </w:t>
      </w:r>
      <w:proofErr w:type="spellStart"/>
      <w:r>
        <w:rPr>
          <w:sz w:val="20"/>
        </w:rPr>
        <w:t>fixes</w:t>
      </w:r>
      <w:proofErr w:type="spellEnd"/>
      <w:r>
        <w:rPr>
          <w:sz w:val="20"/>
        </w:rPr>
        <w:t xml:space="preserve"> ont fait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font </w:t>
      </w:r>
      <w:proofErr w:type="spellStart"/>
      <w:r>
        <w:rPr>
          <w:sz w:val="20"/>
        </w:rPr>
        <w:t>l'objet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contrôles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préalables</w:t>
      </w:r>
      <w:proofErr w:type="spellEnd"/>
      <w:r>
        <w:rPr>
          <w:sz w:val="20"/>
        </w:rPr>
        <w:t xml:space="preserve"> à la mise en service </w:t>
      </w:r>
      <w:proofErr w:type="spellStart"/>
      <w:r>
        <w:rPr>
          <w:sz w:val="20"/>
        </w:rPr>
        <w:t>ainsi</w:t>
      </w:r>
      <w:proofErr w:type="spellEnd"/>
      <w:r>
        <w:rPr>
          <w:sz w:val="20"/>
        </w:rPr>
        <w:t xml:space="preserve"> que de </w:t>
      </w:r>
      <w:proofErr w:type="spellStart"/>
      <w:r>
        <w:rPr>
          <w:sz w:val="20"/>
        </w:rPr>
        <w:t>contrôles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périodiques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effectués</w:t>
      </w:r>
      <w:proofErr w:type="spellEnd"/>
      <w:r>
        <w:rPr>
          <w:sz w:val="20"/>
        </w:rPr>
        <w:t xml:space="preserve"> par </w:t>
      </w:r>
      <w:proofErr w:type="spellStart"/>
      <w:r>
        <w:rPr>
          <w:sz w:val="20"/>
        </w:rPr>
        <w:t>u</w:t>
      </w:r>
      <w:r>
        <w:rPr>
          <w:sz w:val="20"/>
        </w:rPr>
        <w:t>n</w:t>
      </w:r>
      <w:proofErr w:type="spellEnd"/>
      <w:r>
        <w:rPr>
          <w:sz w:val="20"/>
        </w:rPr>
        <w:t xml:space="preserve"> expert </w:t>
      </w:r>
      <w:proofErr w:type="spellStart"/>
      <w:r>
        <w:rPr>
          <w:sz w:val="20"/>
        </w:rPr>
        <w:t>reconnu</w:t>
      </w:r>
      <w:proofErr w:type="spellEnd"/>
      <w:r>
        <w:rPr>
          <w:sz w:val="20"/>
        </w:rPr>
        <w:t xml:space="preserve">. Les dates du dernier </w:t>
      </w:r>
      <w:proofErr w:type="spellStart"/>
      <w:r>
        <w:rPr>
          <w:sz w:val="20"/>
        </w:rPr>
        <w:t>contrôle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effectué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ajoutées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l'annexe</w:t>
      </w:r>
      <w:proofErr w:type="spellEnd"/>
      <w:r>
        <w:rPr>
          <w:sz w:val="20"/>
        </w:rPr>
        <w:t xml:space="preserve"> C7a </w:t>
      </w:r>
      <w:proofErr w:type="spellStart"/>
      <w:r>
        <w:rPr>
          <w:sz w:val="20"/>
        </w:rPr>
        <w:t>avec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liste</w:t>
      </w:r>
      <w:proofErr w:type="spellEnd"/>
      <w:r>
        <w:rPr>
          <w:sz w:val="20"/>
        </w:rPr>
        <w:t xml:space="preserve"> des opérateurs de stockage.</w:t>
      </w:r>
    </w:p>
    <w:p w14:paraId="6EC32AE0" w14:textId="77777777" w:rsidR="00B3534C" w:rsidRDefault="00B625F0">
      <w:pPr>
        <w:pStyle w:val="BodyText"/>
        <w:spacing w:before="119" w:line="259" w:lineRule="auto"/>
        <w:ind w:left="1532" w:right="117"/>
      </w:pPr>
      <w:r>
        <w:t xml:space="preserve">Les citernes mises hors service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d'abord</w:t>
      </w:r>
      <w:proofErr w:type="spellEnd"/>
      <w:r>
        <w:t xml:space="preserve"> </w:t>
      </w:r>
      <w:proofErr w:type="spellStart"/>
      <w:r>
        <w:t>vidées</w:t>
      </w:r>
      <w:proofErr w:type="spellEnd"/>
      <w:r>
        <w:t xml:space="preserve"> et </w:t>
      </w:r>
      <w:proofErr w:type="spellStart"/>
      <w:r>
        <w:t>nettoyées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enlevés</w:t>
      </w:r>
      <w:proofErr w:type="spellEnd"/>
      <w:r>
        <w:t xml:space="preserve">. Pour </w:t>
      </w:r>
      <w:proofErr w:type="spellStart"/>
      <w:r>
        <w:t>l'amendement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spécifiquement</w:t>
      </w:r>
      <w:proofErr w:type="spellEnd"/>
      <w:r>
        <w:t xml:space="preserve"> du stockage </w:t>
      </w:r>
      <w:r>
        <w:rPr>
          <w:spacing w:val="-5"/>
        </w:rPr>
        <w:t>de</w:t>
      </w:r>
    </w:p>
    <w:p w14:paraId="5050C364" w14:textId="77777777" w:rsidR="00B3534C" w:rsidRDefault="00B625F0">
      <w:pPr>
        <w:pStyle w:val="BodyText"/>
        <w:spacing w:before="0"/>
        <w:ind w:left="1532"/>
        <w:rPr>
          <w:i/>
        </w:rPr>
      </w:pPr>
      <w:r>
        <w:t xml:space="preserve">10 000 </w:t>
      </w:r>
      <w:proofErr w:type="spellStart"/>
      <w:r>
        <w:t>litres</w:t>
      </w:r>
      <w:proofErr w:type="spellEnd"/>
      <w:r>
        <w:t xml:space="preserve"> de mazout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bâtiment</w:t>
      </w:r>
      <w:proofErr w:type="spellEnd"/>
      <w:r>
        <w:t xml:space="preserve"> </w:t>
      </w:r>
      <w:r>
        <w:rPr>
          <w:spacing w:val="-4"/>
        </w:rPr>
        <w:t>112-128</w:t>
      </w:r>
      <w:r>
        <w:rPr>
          <w:i/>
          <w:spacing w:val="-4"/>
        </w:rPr>
        <w:t>.</w:t>
      </w:r>
    </w:p>
    <w:p w14:paraId="4564C272" w14:textId="77777777" w:rsidR="00B3534C" w:rsidRDefault="00B625F0">
      <w:pPr>
        <w:pStyle w:val="ListParagraph"/>
        <w:numPr>
          <w:ilvl w:val="0"/>
          <w:numId w:val="1"/>
        </w:numPr>
        <w:tabs>
          <w:tab w:val="left" w:pos="1555"/>
        </w:tabs>
        <w:spacing w:before="140" w:line="259" w:lineRule="auto"/>
        <w:ind w:left="1555" w:right="116"/>
        <w:rPr>
          <w:sz w:val="20"/>
        </w:rPr>
      </w:pPr>
      <w:r>
        <w:rPr>
          <w:sz w:val="20"/>
        </w:rPr>
        <w:t xml:space="preserve">Les </w:t>
      </w: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de stockage de </w:t>
      </w:r>
      <w:proofErr w:type="spellStart"/>
      <w:r>
        <w:rPr>
          <w:sz w:val="20"/>
        </w:rPr>
        <w:t>substances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dangereuses</w:t>
      </w:r>
      <w:proofErr w:type="spellEnd"/>
      <w:r>
        <w:rPr>
          <w:sz w:val="20"/>
        </w:rPr>
        <w:t xml:space="preserve"> dans des </w:t>
      </w:r>
      <w:proofErr w:type="spellStart"/>
      <w:r>
        <w:rPr>
          <w:sz w:val="20"/>
        </w:rPr>
        <w:t>conteneurs</w:t>
      </w:r>
      <w:proofErr w:type="spellEnd"/>
      <w:r>
        <w:rPr>
          <w:sz w:val="20"/>
        </w:rPr>
        <w:t xml:space="preserve"> mobiles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également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conformes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conditions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générales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sectorielles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Vlarem</w:t>
      </w:r>
      <w:proofErr w:type="spellEnd"/>
      <w:r>
        <w:rPr>
          <w:sz w:val="20"/>
        </w:rPr>
        <w:t xml:space="preserve"> II : les </w:t>
      </w:r>
      <w:proofErr w:type="spellStart"/>
      <w:r>
        <w:rPr>
          <w:sz w:val="20"/>
        </w:rPr>
        <w:t>conte</w:t>
      </w:r>
      <w:r>
        <w:rPr>
          <w:sz w:val="20"/>
        </w:rPr>
        <w:t>neurs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placés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enceinte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confinement</w:t>
      </w:r>
      <w:proofErr w:type="spellEnd"/>
      <w:r>
        <w:rPr>
          <w:sz w:val="20"/>
        </w:rPr>
        <w:t xml:space="preserve">, dans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prévu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cet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effet</w:t>
      </w:r>
      <w:proofErr w:type="spellEnd"/>
      <w:r>
        <w:rPr>
          <w:sz w:val="20"/>
        </w:rPr>
        <w:t xml:space="preserve"> et équipé </w:t>
      </w:r>
      <w:proofErr w:type="spellStart"/>
      <w:r>
        <w:rPr>
          <w:sz w:val="20"/>
        </w:rPr>
        <w:t>d'un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revêtement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imperméable</w:t>
      </w:r>
      <w:proofErr w:type="spellEnd"/>
      <w:r>
        <w:rPr>
          <w:sz w:val="20"/>
        </w:rPr>
        <w:t>.</w:t>
      </w:r>
    </w:p>
    <w:p w14:paraId="45847790" w14:textId="77777777" w:rsidR="00B3534C" w:rsidRDefault="00B3534C">
      <w:pPr>
        <w:spacing w:line="259" w:lineRule="auto"/>
        <w:jc w:val="both"/>
        <w:rPr>
          <w:sz w:val="20"/>
        </w:rPr>
        <w:sectPr w:rsidR="00B3534C">
          <w:headerReference w:type="default" r:id="rId7"/>
          <w:footerReference w:type="default" r:id="rId8"/>
          <w:type w:val="continuous"/>
          <w:pgSz w:w="11910" w:h="16840"/>
          <w:pgMar w:top="2140" w:right="1300" w:bottom="1140" w:left="1300" w:header="1180" w:footer="960" w:gutter="0"/>
          <w:pgNumType w:start="1"/>
          <w:cols w:space="720"/>
        </w:sectPr>
      </w:pPr>
    </w:p>
    <w:p w14:paraId="05EBBB96" w14:textId="77777777" w:rsidR="00B3534C" w:rsidRDefault="00B3534C">
      <w:pPr>
        <w:pStyle w:val="BodyText"/>
        <w:spacing w:before="212"/>
        <w:ind w:left="0"/>
        <w:jc w:val="left"/>
      </w:pPr>
    </w:p>
    <w:p w14:paraId="3F882F07" w14:textId="77777777" w:rsidR="00B3534C" w:rsidRDefault="00B625F0">
      <w:pPr>
        <w:pStyle w:val="ListParagraph"/>
        <w:numPr>
          <w:ilvl w:val="0"/>
          <w:numId w:val="1"/>
        </w:numPr>
        <w:tabs>
          <w:tab w:val="left" w:pos="1555"/>
        </w:tabs>
        <w:spacing w:before="0" w:line="259" w:lineRule="auto"/>
        <w:ind w:left="1555"/>
        <w:rPr>
          <w:i/>
          <w:sz w:val="20"/>
        </w:rPr>
      </w:pPr>
      <w:r>
        <w:rPr>
          <w:sz w:val="20"/>
        </w:rPr>
        <w:t xml:space="preserve">Plus </w:t>
      </w:r>
      <w:proofErr w:type="spellStart"/>
      <w:r>
        <w:rPr>
          <w:sz w:val="20"/>
        </w:rPr>
        <w:t>précisément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stockage de 1 000 </w:t>
      </w:r>
      <w:proofErr w:type="spellStart"/>
      <w:r>
        <w:rPr>
          <w:sz w:val="20"/>
        </w:rPr>
        <w:t>litres</w:t>
      </w:r>
      <w:proofErr w:type="spellEnd"/>
      <w:r>
        <w:rPr>
          <w:sz w:val="20"/>
        </w:rPr>
        <w:t xml:space="preserve"> de paraffine et de 15 000 </w:t>
      </w:r>
      <w:proofErr w:type="spellStart"/>
      <w:r>
        <w:rPr>
          <w:sz w:val="20"/>
        </w:rPr>
        <w:t>litres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concentré</w:t>
      </w:r>
      <w:proofErr w:type="spellEnd"/>
      <w:r>
        <w:rPr>
          <w:sz w:val="20"/>
        </w:rPr>
        <w:t xml:space="preserve"> de mousse anti-</w:t>
      </w:r>
      <w:proofErr w:type="spellStart"/>
      <w:r>
        <w:rPr>
          <w:sz w:val="20"/>
        </w:rPr>
        <w:t>incendie</w:t>
      </w:r>
      <w:proofErr w:type="spellEnd"/>
      <w:r>
        <w:rPr>
          <w:sz w:val="20"/>
        </w:rPr>
        <w:t xml:space="preserve"> dans des GRV </w:t>
      </w:r>
      <w:proofErr w:type="spellStart"/>
      <w:r>
        <w:rPr>
          <w:sz w:val="20"/>
        </w:rPr>
        <w:t>antigel</w:t>
      </w:r>
      <w:proofErr w:type="spellEnd"/>
      <w:r>
        <w:rPr>
          <w:sz w:val="20"/>
        </w:rPr>
        <w:t xml:space="preserve"> de 200 </w:t>
      </w:r>
      <w:proofErr w:type="spellStart"/>
      <w:r>
        <w:rPr>
          <w:sz w:val="20"/>
        </w:rPr>
        <w:t>litres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qui</w:t>
      </w:r>
      <w:proofErr w:type="spellEnd"/>
      <w:r>
        <w:rPr>
          <w:sz w:val="20"/>
        </w:rPr>
        <w:t xml:space="preserve"> font </w:t>
      </w:r>
      <w:proofErr w:type="spellStart"/>
      <w:r>
        <w:rPr>
          <w:sz w:val="20"/>
        </w:rPr>
        <w:t>l'objet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demande</w:t>
      </w:r>
      <w:proofErr w:type="spellEnd"/>
      <w:r>
        <w:rPr>
          <w:sz w:val="20"/>
        </w:rPr>
        <w:t xml:space="preserve">, sera </w:t>
      </w:r>
      <w:proofErr w:type="spellStart"/>
      <w:r>
        <w:rPr>
          <w:spacing w:val="-2"/>
          <w:sz w:val="20"/>
        </w:rPr>
        <w:t>placé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dans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enceinte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confinement</w:t>
      </w:r>
      <w:proofErr w:type="spellEnd"/>
      <w:r>
        <w:rPr>
          <w:sz w:val="20"/>
        </w:rPr>
        <w:t xml:space="preserve"> à</w:t>
      </w:r>
      <w:r>
        <w:rPr>
          <w:sz w:val="20"/>
        </w:rPr>
        <w:t xml:space="preserve"> </w:t>
      </w:r>
      <w:proofErr w:type="spellStart"/>
      <w:r>
        <w:rPr>
          <w:sz w:val="20"/>
        </w:rPr>
        <w:t>l'épreuve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liquides</w:t>
      </w:r>
      <w:proofErr w:type="spellEnd"/>
      <w:r>
        <w:rPr>
          <w:sz w:val="20"/>
        </w:rPr>
        <w:t>.</w:t>
      </w:r>
    </w:p>
    <w:p w14:paraId="6680E899" w14:textId="77777777" w:rsidR="00B3534C" w:rsidRDefault="00B625F0">
      <w:pPr>
        <w:pStyle w:val="ListParagraph"/>
        <w:numPr>
          <w:ilvl w:val="0"/>
          <w:numId w:val="1"/>
        </w:numPr>
        <w:tabs>
          <w:tab w:val="left" w:pos="1555"/>
        </w:tabs>
        <w:spacing w:before="121" w:line="259" w:lineRule="auto"/>
        <w:ind w:left="1555"/>
        <w:rPr>
          <w:sz w:val="20"/>
        </w:rPr>
      </w:pPr>
      <w:r>
        <w:rPr>
          <w:sz w:val="20"/>
        </w:rPr>
        <w:t xml:space="preserve">Les </w:t>
      </w:r>
      <w:proofErr w:type="spellStart"/>
      <w:r>
        <w:rPr>
          <w:sz w:val="20"/>
        </w:rPr>
        <w:t>précautions</w:t>
      </w:r>
      <w:proofErr w:type="spellEnd"/>
      <w:r>
        <w:rPr>
          <w:sz w:val="20"/>
        </w:rPr>
        <w:t xml:space="preserve"> nécessaires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prises </w:t>
      </w:r>
      <w:proofErr w:type="spellStart"/>
      <w:r>
        <w:rPr>
          <w:sz w:val="20"/>
        </w:rPr>
        <w:t>lors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manipulation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liquides</w:t>
      </w:r>
      <w:proofErr w:type="spellEnd"/>
      <w:r>
        <w:rPr>
          <w:sz w:val="20"/>
        </w:rPr>
        <w:t xml:space="preserve"> : </w:t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remplissage</w:t>
      </w:r>
      <w:proofErr w:type="spellEnd"/>
      <w:r>
        <w:rPr>
          <w:sz w:val="20"/>
        </w:rPr>
        <w:t xml:space="preserve"> des réservoirs </w:t>
      </w:r>
      <w:proofErr w:type="spellStart"/>
      <w:r>
        <w:rPr>
          <w:sz w:val="20"/>
        </w:rPr>
        <w:t>fixes</w:t>
      </w:r>
      <w:proofErr w:type="spellEnd"/>
      <w:r>
        <w:rPr>
          <w:sz w:val="20"/>
        </w:rPr>
        <w:t xml:space="preserve"> se fait </w:t>
      </w:r>
      <w:proofErr w:type="spellStart"/>
      <w:r>
        <w:rPr>
          <w:sz w:val="20"/>
        </w:rPr>
        <w:t>toujours</w:t>
      </w:r>
      <w:proofErr w:type="spellEnd"/>
      <w:r>
        <w:rPr>
          <w:sz w:val="20"/>
        </w:rPr>
        <w:t xml:space="preserve"> sous surveillance et </w:t>
      </w:r>
      <w:proofErr w:type="spellStart"/>
      <w:r>
        <w:rPr>
          <w:sz w:val="20"/>
        </w:rPr>
        <w:t>après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connexion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dispositifs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sécurité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débordement</w:t>
      </w:r>
      <w:proofErr w:type="spellEnd"/>
      <w:r>
        <w:rPr>
          <w:sz w:val="20"/>
        </w:rPr>
        <w:t xml:space="preserve">, </w:t>
      </w:r>
      <w:r>
        <w:rPr>
          <w:sz w:val="20"/>
        </w:rPr>
        <w:t xml:space="preserve">mise à la </w:t>
      </w:r>
      <w:proofErr w:type="spellStart"/>
      <w:r>
        <w:rPr>
          <w:sz w:val="20"/>
        </w:rPr>
        <w:t>terre</w:t>
      </w:r>
      <w:proofErr w:type="spellEnd"/>
      <w:r>
        <w:rPr>
          <w:sz w:val="20"/>
        </w:rPr>
        <w:t xml:space="preserve">, etc.). Les </w:t>
      </w: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déchargement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protégés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contre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liquides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L'emplacement</w:t>
      </w:r>
      <w:proofErr w:type="spellEnd"/>
      <w:r>
        <w:rPr>
          <w:sz w:val="20"/>
        </w:rPr>
        <w:t xml:space="preserve"> de la piste </w:t>
      </w:r>
      <w:proofErr w:type="spellStart"/>
      <w:r>
        <w:rPr>
          <w:sz w:val="20"/>
        </w:rPr>
        <w:t>d'essai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également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entièrement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surface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pavée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étanche</w:t>
      </w:r>
      <w:proofErr w:type="spellEnd"/>
      <w:r>
        <w:rPr>
          <w:sz w:val="20"/>
        </w:rPr>
        <w:t>.</w:t>
      </w:r>
    </w:p>
    <w:p w14:paraId="7A68133D" w14:textId="77777777" w:rsidR="00B3534C" w:rsidRDefault="00B625F0">
      <w:pPr>
        <w:pStyle w:val="ListParagraph"/>
        <w:numPr>
          <w:ilvl w:val="0"/>
          <w:numId w:val="1"/>
        </w:numPr>
        <w:tabs>
          <w:tab w:val="left" w:pos="1555"/>
        </w:tabs>
        <w:spacing w:line="259" w:lineRule="auto"/>
        <w:ind w:left="1555" w:right="115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système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distribution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carburant</w:t>
      </w:r>
      <w:proofErr w:type="spellEnd"/>
      <w:r>
        <w:rPr>
          <w:sz w:val="20"/>
        </w:rPr>
        <w:t xml:space="preserve"> du </w:t>
      </w:r>
      <w:proofErr w:type="spellStart"/>
      <w:r>
        <w:rPr>
          <w:i/>
          <w:sz w:val="20"/>
        </w:rPr>
        <w:t>système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ravitaillement</w:t>
      </w:r>
      <w:proofErr w:type="spellEnd"/>
      <w:r>
        <w:rPr>
          <w:i/>
          <w:sz w:val="20"/>
        </w:rPr>
        <w:t xml:space="preserve"> par </w:t>
      </w:r>
      <w:proofErr w:type="spellStart"/>
      <w:r>
        <w:rPr>
          <w:i/>
          <w:sz w:val="20"/>
        </w:rPr>
        <w:t>b</w:t>
      </w:r>
      <w:r>
        <w:rPr>
          <w:i/>
          <w:sz w:val="20"/>
        </w:rPr>
        <w:t>ornes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d'incendie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(HRS) </w:t>
      </w:r>
      <w:proofErr w:type="spellStart"/>
      <w:r>
        <w:rPr>
          <w:sz w:val="20"/>
        </w:rPr>
        <w:t>reste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soumis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ensemble de </w:t>
      </w:r>
      <w:proofErr w:type="spellStart"/>
      <w:r>
        <w:rPr>
          <w:sz w:val="20"/>
        </w:rPr>
        <w:t>mesures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gestion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spécifiques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incluses</w:t>
      </w:r>
      <w:proofErr w:type="spellEnd"/>
      <w:r>
        <w:rPr>
          <w:sz w:val="20"/>
        </w:rPr>
        <w:t xml:space="preserve"> dans la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actuelle</w:t>
      </w:r>
      <w:proofErr w:type="spellEnd"/>
      <w:r>
        <w:rPr>
          <w:sz w:val="20"/>
        </w:rPr>
        <w:t xml:space="preserve"> de </w:t>
      </w:r>
      <w:r>
        <w:rPr>
          <w:spacing w:val="-4"/>
          <w:sz w:val="20"/>
        </w:rPr>
        <w:t>HRS.</w:t>
      </w:r>
    </w:p>
    <w:p w14:paraId="05B70D51" w14:textId="77777777" w:rsidR="00B3534C" w:rsidRDefault="00B625F0">
      <w:pPr>
        <w:pStyle w:val="BodyText"/>
        <w:spacing w:before="119" w:line="276" w:lineRule="auto"/>
        <w:ind w:right="114"/>
      </w:pPr>
      <w:proofErr w:type="spellStart"/>
      <w:r>
        <w:t>Malgré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préventives</w:t>
      </w:r>
      <w:proofErr w:type="spellEnd"/>
      <w:r>
        <w:t xml:space="preserve">, les </w:t>
      </w:r>
      <w:proofErr w:type="spellStart"/>
      <w:r>
        <w:t>incidents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exclus</w:t>
      </w:r>
      <w:proofErr w:type="spellEnd"/>
      <w:r>
        <w:t xml:space="preserve">. Par conséquent, pour </w:t>
      </w:r>
      <w:proofErr w:type="spellStart"/>
      <w:r>
        <w:t>gérer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d'incident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série de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d'intervention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définies</w:t>
      </w:r>
      <w:proofErr w:type="spellEnd"/>
      <w:r>
        <w:t xml:space="preserve"> dans </w:t>
      </w:r>
      <w:proofErr w:type="spellStart"/>
      <w:r>
        <w:t>diverses</w:t>
      </w:r>
      <w:proofErr w:type="spellEnd"/>
      <w:r>
        <w:t xml:space="preserve"> procédures </w:t>
      </w:r>
      <w:proofErr w:type="spellStart"/>
      <w:r>
        <w:t>telles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plan </w:t>
      </w:r>
      <w:proofErr w:type="spellStart"/>
      <w:r>
        <w:t>d'urgence</w:t>
      </w:r>
      <w:proofErr w:type="spellEnd"/>
      <w:r>
        <w:t xml:space="preserve"> </w:t>
      </w:r>
      <w:proofErr w:type="spellStart"/>
      <w:r>
        <w:t>environnementale</w:t>
      </w:r>
      <w:proofErr w:type="spellEnd"/>
      <w:r>
        <w:t>, la procédure pivot,....</w:t>
      </w:r>
    </w:p>
    <w:p w14:paraId="5A867D2B" w14:textId="77777777" w:rsidR="00B3534C" w:rsidRDefault="00B625F0">
      <w:pPr>
        <w:spacing w:before="120"/>
        <w:ind w:left="1193"/>
        <w:rPr>
          <w:i/>
          <w:sz w:val="20"/>
        </w:rPr>
      </w:pPr>
      <w:proofErr w:type="spellStart"/>
      <w:r>
        <w:rPr>
          <w:i/>
          <w:sz w:val="20"/>
          <w:u w:val="single"/>
        </w:rPr>
        <w:t>Mesures</w:t>
      </w:r>
      <w:proofErr w:type="spellEnd"/>
      <w:r>
        <w:rPr>
          <w:i/>
          <w:sz w:val="20"/>
          <w:u w:val="single"/>
        </w:rPr>
        <w:t xml:space="preserve"> sous </w:t>
      </w:r>
      <w:proofErr w:type="spellStart"/>
      <w:r>
        <w:rPr>
          <w:i/>
          <w:spacing w:val="-2"/>
          <w:sz w:val="20"/>
          <w:u w:val="single"/>
        </w:rPr>
        <w:t>Vlarebo</w:t>
      </w:r>
      <w:proofErr w:type="spellEnd"/>
    </w:p>
    <w:p w14:paraId="747CC2EB" w14:textId="77777777" w:rsidR="00B3534C" w:rsidRDefault="00B625F0">
      <w:pPr>
        <w:pStyle w:val="BodyText"/>
        <w:spacing w:before="157" w:line="276" w:lineRule="auto"/>
        <w:ind w:right="114"/>
      </w:pPr>
      <w:r>
        <w:t xml:space="preserve">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 par </w:t>
      </w:r>
      <w:proofErr w:type="spellStart"/>
      <w:r>
        <w:t>Vlarem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princip</w:t>
      </w:r>
      <w:r>
        <w:t>alement</w:t>
      </w:r>
      <w:proofErr w:type="spellEnd"/>
      <w:r>
        <w:t xml:space="preserve"> </w:t>
      </w:r>
      <w:proofErr w:type="spellStart"/>
      <w:r>
        <w:rPr>
          <w:i/>
        </w:rPr>
        <w:t>préventives</w:t>
      </w:r>
      <w:proofErr w:type="spellEnd"/>
      <w:r>
        <w:t xml:space="preserve">. En </w:t>
      </w:r>
      <w:proofErr w:type="spellStart"/>
      <w:r>
        <w:t>outre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série de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s'appliquent</w:t>
      </w:r>
      <w:proofErr w:type="spellEnd"/>
      <w:r>
        <w:t xml:space="preserve"> à la </w:t>
      </w:r>
      <w:proofErr w:type="spellStart"/>
      <w:r>
        <w:t>gestion</w:t>
      </w:r>
      <w:proofErr w:type="spellEnd"/>
      <w:r>
        <w:t xml:space="preserve"> des sols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l'ensemble</w:t>
      </w:r>
      <w:proofErr w:type="spellEnd"/>
      <w:r>
        <w:t xml:space="preserve"> du site, </w:t>
      </w:r>
      <w:proofErr w:type="spellStart"/>
      <w:r>
        <w:t>résumées</w:t>
      </w:r>
      <w:proofErr w:type="spellEnd"/>
      <w:r>
        <w:t xml:space="preserve"> comme </w:t>
      </w:r>
      <w:proofErr w:type="spellStart"/>
      <w:r>
        <w:rPr>
          <w:spacing w:val="-2"/>
        </w:rPr>
        <w:t>suit</w:t>
      </w:r>
      <w:proofErr w:type="spellEnd"/>
      <w:r>
        <w:rPr>
          <w:spacing w:val="-2"/>
        </w:rPr>
        <w:t>.</w:t>
      </w:r>
    </w:p>
    <w:p w14:paraId="714EAB94" w14:textId="77777777" w:rsidR="00B3534C" w:rsidRDefault="00B625F0">
      <w:pPr>
        <w:pStyle w:val="BodyText"/>
        <w:spacing w:line="276" w:lineRule="auto"/>
        <w:ind w:right="115"/>
      </w:pPr>
      <w:r>
        <w:rPr>
          <w:i/>
        </w:rPr>
        <w:t xml:space="preserve">Les </w:t>
      </w:r>
      <w:proofErr w:type="spellStart"/>
      <w:r>
        <w:rPr>
          <w:i/>
        </w:rPr>
        <w:t>contrôles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qualité</w:t>
      </w:r>
      <w:proofErr w:type="spellEnd"/>
      <w:r>
        <w:rPr>
          <w:i/>
        </w:rPr>
        <w:t xml:space="preserve"> du sol </w:t>
      </w:r>
      <w:r>
        <w:t xml:space="preserve">se font sous la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d'</w:t>
      </w:r>
      <w:r>
        <w:t>études</w:t>
      </w:r>
      <w:proofErr w:type="spellEnd"/>
      <w:r>
        <w:t xml:space="preserve"> de sol </w:t>
      </w:r>
      <w:proofErr w:type="spellStart"/>
      <w:r>
        <w:t>imposées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Vlarebo</w:t>
      </w:r>
      <w:proofErr w:type="spellEnd"/>
      <w:r>
        <w:t xml:space="preserve">. Ces études </w:t>
      </w:r>
      <w:proofErr w:type="spellStart"/>
      <w:r>
        <w:t>révèlent</w:t>
      </w:r>
      <w:proofErr w:type="spellEnd"/>
      <w:r>
        <w:t xml:space="preserve"> la </w:t>
      </w:r>
      <w:proofErr w:type="spellStart"/>
      <w:r>
        <w:t>contamination</w:t>
      </w:r>
      <w:proofErr w:type="spellEnd"/>
      <w:r>
        <w:t xml:space="preserve"> si nécessaire. Des </w:t>
      </w:r>
      <w:proofErr w:type="spellStart"/>
      <w:r>
        <w:t>aperçus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RIE au </w:t>
      </w:r>
      <w:proofErr w:type="spellStart"/>
      <w:r>
        <w:t>chapitre</w:t>
      </w:r>
      <w:proofErr w:type="spellEnd"/>
      <w:r>
        <w:t xml:space="preserve"> 8.4.6. En </w:t>
      </w:r>
      <w:proofErr w:type="spellStart"/>
      <w:r>
        <w:t>outre</w:t>
      </w:r>
      <w:proofErr w:type="spellEnd"/>
      <w:r>
        <w:t xml:space="preserve">, la </w:t>
      </w:r>
      <w:proofErr w:type="spellStart"/>
      <w:r>
        <w:t>demande</w:t>
      </w:r>
      <w:proofErr w:type="spellEnd"/>
      <w:r>
        <w:t xml:space="preserve"> de permis </w:t>
      </w:r>
      <w:proofErr w:type="spellStart"/>
      <w:r>
        <w:t>d'environnement</w:t>
      </w:r>
      <w:proofErr w:type="spellEnd"/>
      <w:r>
        <w:t xml:space="preserve"> en elle-</w:t>
      </w:r>
      <w:proofErr w:type="spellStart"/>
      <w:r>
        <w:t>même</w:t>
      </w:r>
      <w:proofErr w:type="spellEnd"/>
      <w:r>
        <w:t xml:space="preserve"> ne </w:t>
      </w:r>
      <w:proofErr w:type="spellStart"/>
      <w:r>
        <w:t>donne</w:t>
      </w:r>
      <w:proofErr w:type="spellEnd"/>
      <w:r>
        <w:t xml:space="preserve"> pas </w:t>
      </w:r>
      <w:proofErr w:type="spellStart"/>
      <w:r>
        <w:t>lieu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nouvelle étude du sol.</w:t>
      </w:r>
    </w:p>
    <w:p w14:paraId="7219307E" w14:textId="77777777" w:rsidR="00B3534C" w:rsidRDefault="00B625F0">
      <w:pPr>
        <w:pStyle w:val="BodyText"/>
        <w:spacing w:line="276" w:lineRule="auto"/>
        <w:ind w:right="113"/>
      </w:pPr>
      <w:proofErr w:type="spellStart"/>
      <w:r>
        <w:t>Rég</w:t>
      </w:r>
      <w:r>
        <w:t>ulièrement</w:t>
      </w:r>
      <w:proofErr w:type="spellEnd"/>
      <w:r>
        <w:t xml:space="preserve">, des </w:t>
      </w:r>
      <w:proofErr w:type="spellStart"/>
      <w:r>
        <w:t>travaux</w:t>
      </w:r>
      <w:proofErr w:type="spellEnd"/>
      <w:r>
        <w:t xml:space="preserve"> de </w:t>
      </w:r>
      <w:proofErr w:type="spellStart"/>
      <w:r>
        <w:rPr>
          <w:i/>
        </w:rPr>
        <w:t>terrassement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doivent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être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effectués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qui</w:t>
      </w:r>
      <w:proofErr w:type="spellEnd"/>
      <w:r>
        <w:rPr>
          <w:i/>
        </w:rPr>
        <w:t xml:space="preserve"> </w:t>
      </w:r>
      <w:proofErr w:type="spellStart"/>
      <w:r>
        <w:t>signifie</w:t>
      </w:r>
      <w:proofErr w:type="spellEnd"/>
      <w:r>
        <w:t xml:space="preserve"> que de la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excavée</w:t>
      </w:r>
      <w:proofErr w:type="spellEnd"/>
      <w:r>
        <w:t xml:space="preserve"> et ne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réutilisée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site.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s'assurer</w:t>
      </w:r>
      <w:proofErr w:type="spellEnd"/>
      <w:r>
        <w:t xml:space="preserve"> que les </w:t>
      </w:r>
      <w:proofErr w:type="spellStart"/>
      <w:r>
        <w:t>travaux</w:t>
      </w:r>
      <w:proofErr w:type="spellEnd"/>
      <w:r>
        <w:t xml:space="preserve"> de </w:t>
      </w:r>
      <w:proofErr w:type="spellStart"/>
      <w:r>
        <w:t>terrassement</w:t>
      </w:r>
      <w:proofErr w:type="spellEnd"/>
      <w:r>
        <w:t xml:space="preserve"> </w:t>
      </w:r>
      <w:proofErr w:type="spellStart"/>
      <w:r>
        <w:t>n'entraînent</w:t>
      </w:r>
      <w:proofErr w:type="spellEnd"/>
      <w:r>
        <w:t xml:space="preserve"> pas la </w:t>
      </w:r>
      <w:proofErr w:type="spellStart"/>
      <w:r>
        <w:t>propagation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contamination</w:t>
      </w:r>
      <w:proofErr w:type="spellEnd"/>
      <w:r>
        <w:t xml:space="preserve"> </w:t>
      </w:r>
      <w:proofErr w:type="spellStart"/>
      <w:r>
        <w:t>connue</w:t>
      </w:r>
      <w:proofErr w:type="spellEnd"/>
      <w:r>
        <w:t xml:space="preserve">, des enquêtes </w:t>
      </w:r>
      <w:proofErr w:type="spellStart"/>
      <w:r>
        <w:t>ciblées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menées</w:t>
      </w:r>
      <w:proofErr w:type="spellEnd"/>
      <w:r>
        <w:t xml:space="preserve"> pour </w:t>
      </w:r>
      <w:proofErr w:type="spellStart"/>
      <w:r>
        <w:t>déterminer</w:t>
      </w:r>
      <w:proofErr w:type="spellEnd"/>
      <w:r>
        <w:t xml:space="preserve"> la </w:t>
      </w:r>
      <w:proofErr w:type="spellStart"/>
      <w:r>
        <w:t>destination</w:t>
      </w:r>
      <w:proofErr w:type="spellEnd"/>
      <w:r>
        <w:t xml:space="preserve"> de la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excavée</w:t>
      </w:r>
      <w:proofErr w:type="spellEnd"/>
      <w:r>
        <w:t xml:space="preserve">.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d'utilisation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des sols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donnés</w:t>
      </w:r>
      <w:proofErr w:type="spellEnd"/>
      <w:r>
        <w:t xml:space="preserve"> à la </w:t>
      </w:r>
      <w:proofErr w:type="spellStart"/>
      <w:r>
        <w:t>section</w:t>
      </w:r>
      <w:proofErr w:type="spellEnd"/>
      <w:r>
        <w:t xml:space="preserve"> 8.5.4.3 du rapport </w:t>
      </w:r>
      <w:proofErr w:type="spellStart"/>
      <w:r>
        <w:t>d'impact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l'environnement</w:t>
      </w:r>
      <w:proofErr w:type="spellEnd"/>
      <w:r>
        <w:t>.</w:t>
      </w:r>
    </w:p>
    <w:p w14:paraId="4B6648FC" w14:textId="77777777" w:rsidR="00B3534C" w:rsidRDefault="00B625F0">
      <w:pPr>
        <w:pStyle w:val="BodyText"/>
        <w:spacing w:line="276" w:lineRule="auto"/>
        <w:ind w:right="114"/>
      </w:pPr>
      <w:r>
        <w:t xml:space="preserve">En </w:t>
      </w:r>
      <w:proofErr w:type="spellStart"/>
      <w:r>
        <w:t>cas</w:t>
      </w:r>
      <w:proofErr w:type="spellEnd"/>
      <w:r>
        <w:t xml:space="preserve"> de drainage,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égaleme</w:t>
      </w:r>
      <w:r>
        <w:t>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risque</w:t>
      </w:r>
      <w:proofErr w:type="spellEnd"/>
      <w:r>
        <w:t xml:space="preserve"> de </w:t>
      </w:r>
      <w:proofErr w:type="spellStart"/>
      <w:r>
        <w:t>propagation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éventuelle</w:t>
      </w:r>
      <w:proofErr w:type="spellEnd"/>
      <w:r>
        <w:t xml:space="preserve"> </w:t>
      </w:r>
      <w:proofErr w:type="spellStart"/>
      <w:r>
        <w:t>contamination</w:t>
      </w:r>
      <w:proofErr w:type="spellEnd"/>
      <w:r>
        <w:t xml:space="preserve"> du sol. Si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contamination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répandue</w:t>
      </w:r>
      <w:proofErr w:type="spellEnd"/>
      <w:r>
        <w:t xml:space="preserve"> dans la zone du site à ces </w:t>
      </w:r>
      <w:proofErr w:type="spellStart"/>
      <w:r>
        <w:t>endroits</w:t>
      </w:r>
      <w:proofErr w:type="spellEnd"/>
      <w:r>
        <w:t xml:space="preserve">, </w:t>
      </w:r>
      <w:proofErr w:type="spellStart"/>
      <w:r>
        <w:t>l'excavation</w:t>
      </w:r>
      <w:proofErr w:type="spellEnd"/>
      <w:r>
        <w:t xml:space="preserve"> et les </w:t>
      </w:r>
      <w:proofErr w:type="spellStart"/>
      <w:r>
        <w:t>travaux</w:t>
      </w:r>
      <w:proofErr w:type="spellEnd"/>
      <w:r>
        <w:t xml:space="preserve"> de drainage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éliminer</w:t>
      </w:r>
      <w:proofErr w:type="spellEnd"/>
      <w:r>
        <w:t xml:space="preserve"> la </w:t>
      </w:r>
      <w:proofErr w:type="spellStart"/>
      <w:r>
        <w:t>contamination</w:t>
      </w:r>
      <w:proofErr w:type="spellEnd"/>
      <w:r>
        <w:t xml:space="preserve"> du </w:t>
      </w:r>
      <w:r>
        <w:rPr>
          <w:spacing w:val="-5"/>
        </w:rPr>
        <w:t>sol</w:t>
      </w:r>
      <w:r>
        <w:t>.</w:t>
      </w:r>
    </w:p>
    <w:p w14:paraId="2E0AC516" w14:textId="77777777" w:rsidR="00B3534C" w:rsidRDefault="00B625F0">
      <w:pPr>
        <w:spacing w:before="120"/>
        <w:ind w:left="1193"/>
        <w:rPr>
          <w:i/>
          <w:sz w:val="20"/>
        </w:rPr>
      </w:pPr>
      <w:r>
        <w:rPr>
          <w:i/>
          <w:spacing w:val="-4"/>
          <w:sz w:val="20"/>
          <w:u w:val="single"/>
        </w:rPr>
        <w:t>PFAS</w:t>
      </w:r>
    </w:p>
    <w:p w14:paraId="6E37B927" w14:textId="77777777" w:rsidR="00B3534C" w:rsidRDefault="00B625F0">
      <w:pPr>
        <w:pStyle w:val="BodyText"/>
        <w:spacing w:before="157" w:line="276" w:lineRule="auto"/>
        <w:ind w:right="114"/>
      </w:pPr>
      <w:r>
        <w:t xml:space="preserve">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prévenir</w:t>
      </w:r>
      <w:proofErr w:type="spellEnd"/>
      <w:r>
        <w:t xml:space="preserve"> la </w:t>
      </w:r>
      <w:proofErr w:type="spellStart"/>
      <w:r>
        <w:t>contamination</w:t>
      </w:r>
      <w:proofErr w:type="spellEnd"/>
      <w:r>
        <w:t xml:space="preserve"> des sols par les PFAS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 xml:space="preserve"> (8.5.4.1) et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mentionnées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question </w:t>
      </w:r>
      <w:proofErr w:type="spellStart"/>
      <w:r>
        <w:t>d'actualité</w:t>
      </w:r>
      <w:proofErr w:type="spellEnd"/>
      <w:r>
        <w:t>.</w:t>
      </w:r>
    </w:p>
    <w:p w14:paraId="6AC6F70A" w14:textId="77777777" w:rsidR="00B3534C" w:rsidRDefault="00B625F0">
      <w:pPr>
        <w:pStyle w:val="BodyText"/>
        <w:spacing w:line="276" w:lineRule="auto"/>
        <w:ind w:right="114"/>
      </w:pPr>
      <w:r>
        <w:t xml:space="preserve">Les pompiers du BAC ont </w:t>
      </w:r>
      <w:proofErr w:type="spellStart"/>
      <w:r>
        <w:t>effectué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complète</w:t>
      </w:r>
      <w:proofErr w:type="spellEnd"/>
      <w:r>
        <w:t xml:space="preserve"> vers </w:t>
      </w:r>
      <w:proofErr w:type="spellStart"/>
      <w:r>
        <w:t>une</w:t>
      </w:r>
      <w:proofErr w:type="spellEnd"/>
      <w:r>
        <w:t xml:space="preserve"> mousse sans fluor (au-</w:t>
      </w:r>
      <w:proofErr w:type="spellStart"/>
      <w:r>
        <w:t>delà</w:t>
      </w:r>
      <w:proofErr w:type="spellEnd"/>
      <w:r>
        <w:t xml:space="preserve"> de la </w:t>
      </w:r>
      <w:proofErr w:type="spellStart"/>
      <w:r>
        <w:t>législ</w:t>
      </w:r>
      <w:r>
        <w:t>ation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).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décontamination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d'extinction</w:t>
      </w:r>
      <w:proofErr w:type="spellEnd"/>
      <w:r>
        <w:t xml:space="preserve"> et des réservoirs de mousse,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effectuée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vérifier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nettoyage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effectué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suffisante</w:t>
      </w:r>
      <w:proofErr w:type="spellEnd"/>
      <w:r>
        <w:t xml:space="preserve"> et </w:t>
      </w:r>
      <w:proofErr w:type="spellStart"/>
      <w:r>
        <w:t>qu'aucun</w:t>
      </w:r>
      <w:proofErr w:type="spellEnd"/>
      <w:r>
        <w:t xml:space="preserve"> résidu de PFAS ne </w:t>
      </w:r>
      <w:proofErr w:type="spellStart"/>
      <w:r>
        <w:t>subsistait</w:t>
      </w:r>
      <w:proofErr w:type="spellEnd"/>
      <w:r>
        <w:t xml:space="preserve"> </w:t>
      </w:r>
      <w:r>
        <w:t xml:space="preserve">dans les </w:t>
      </w:r>
      <w:proofErr w:type="spellStart"/>
      <w:r>
        <w:t>véhicules</w:t>
      </w:r>
      <w:proofErr w:type="spellEnd"/>
      <w:r>
        <w:t>.</w:t>
      </w:r>
    </w:p>
    <w:p w14:paraId="6E002DCC" w14:textId="77777777" w:rsidR="00B3534C" w:rsidRDefault="00B625F0">
      <w:pPr>
        <w:pStyle w:val="BodyText"/>
        <w:spacing w:line="276" w:lineRule="auto"/>
        <w:ind w:right="112"/>
      </w:pPr>
      <w:proofErr w:type="spellStart"/>
      <w:r>
        <w:t>Une</w:t>
      </w:r>
      <w:proofErr w:type="spellEnd"/>
      <w:r>
        <w:t xml:space="preserve"> mousse à base de </w:t>
      </w:r>
      <w:proofErr w:type="spellStart"/>
      <w:r>
        <w:t>composants</w:t>
      </w:r>
      <w:proofErr w:type="spellEnd"/>
      <w:r>
        <w:t xml:space="preserve"> </w:t>
      </w:r>
      <w:proofErr w:type="spellStart"/>
      <w:r>
        <w:t>organiques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choisie</w:t>
      </w:r>
      <w:proofErr w:type="spellEnd"/>
      <w:r>
        <w:t xml:space="preserve">, </w:t>
      </w:r>
      <w:proofErr w:type="spellStart"/>
      <w:r>
        <w:t>permettant</w:t>
      </w:r>
      <w:proofErr w:type="spellEnd"/>
      <w:r>
        <w:t xml:space="preserve"> à la mousse (et à </w:t>
      </w:r>
      <w:proofErr w:type="spellStart"/>
      <w:r>
        <w:t>l'eau</w:t>
      </w:r>
      <w:proofErr w:type="spellEnd"/>
      <w:r>
        <w:t xml:space="preserve">) </w:t>
      </w:r>
      <w:proofErr w:type="spellStart"/>
      <w:r>
        <w:t>d'être</w:t>
      </w:r>
      <w:proofErr w:type="spellEnd"/>
      <w:r>
        <w:t xml:space="preserve"> </w:t>
      </w:r>
      <w:proofErr w:type="spellStart"/>
      <w:r>
        <w:t>traitée</w:t>
      </w:r>
      <w:proofErr w:type="spellEnd"/>
      <w:r>
        <w:t xml:space="preserve"> dans la STEP de la BAC.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r>
        <w:rPr>
          <w:spacing w:val="-8"/>
        </w:rPr>
        <w:t xml:space="preserve">du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d'égouts</w:t>
      </w:r>
      <w:proofErr w:type="spellEnd"/>
      <w:r>
        <w:t xml:space="preserve"> a déjà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réalisée</w:t>
      </w:r>
      <w:proofErr w:type="spellEnd"/>
      <w:r>
        <w:t xml:space="preserve"> en 2022, </w:t>
      </w:r>
      <w:proofErr w:type="spellStart"/>
      <w:r>
        <w:t>permettant</w:t>
      </w:r>
      <w:proofErr w:type="spellEnd"/>
      <w:r>
        <w:t xml:space="preserve"> </w:t>
      </w:r>
      <w:proofErr w:type="spellStart"/>
      <w:r>
        <w:t>d'envoyer</w:t>
      </w:r>
      <w:proofErr w:type="spellEnd"/>
      <w:r>
        <w:t xml:space="preserve"> à la STEP les mélan</w:t>
      </w:r>
      <w:r>
        <w:t xml:space="preserve">ges de mousse et </w:t>
      </w:r>
      <w:proofErr w:type="spellStart"/>
      <w:r>
        <w:t>d'eau</w:t>
      </w:r>
      <w:proofErr w:type="spellEnd"/>
      <w:r>
        <w:t xml:space="preserve"> </w:t>
      </w:r>
      <w:proofErr w:type="spellStart"/>
      <w:r>
        <w:t>libérés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des </w:t>
      </w:r>
      <w:proofErr w:type="spellStart"/>
      <w:r>
        <w:t>exercices</w:t>
      </w:r>
      <w:proofErr w:type="spellEnd"/>
      <w:r>
        <w:t xml:space="preserve"> de mousse à la </w:t>
      </w:r>
      <w:proofErr w:type="spellStart"/>
      <w:r>
        <w:t>caserne</w:t>
      </w:r>
      <w:proofErr w:type="spellEnd"/>
      <w:r>
        <w:t xml:space="preserve"> des pompiers de </w:t>
      </w:r>
      <w:proofErr w:type="spellStart"/>
      <w:r>
        <w:t>l'Est</w:t>
      </w:r>
      <w:proofErr w:type="spellEnd"/>
      <w:r>
        <w:t>.</w:t>
      </w:r>
    </w:p>
    <w:p w14:paraId="17E9CBFF" w14:textId="77777777" w:rsidR="00B3534C" w:rsidRDefault="00B3534C">
      <w:pPr>
        <w:spacing w:line="276" w:lineRule="auto"/>
        <w:sectPr w:rsidR="00B3534C">
          <w:pgSz w:w="11910" w:h="16840"/>
          <w:pgMar w:top="2140" w:right="1300" w:bottom="1140" w:left="1300" w:header="1180" w:footer="960" w:gutter="0"/>
          <w:cols w:space="720"/>
        </w:sectPr>
      </w:pPr>
    </w:p>
    <w:p w14:paraId="7F43A3DD" w14:textId="77777777" w:rsidR="00B3534C" w:rsidRDefault="00B3534C">
      <w:pPr>
        <w:pStyle w:val="BodyText"/>
        <w:spacing w:before="212"/>
        <w:ind w:left="0"/>
        <w:jc w:val="left"/>
      </w:pPr>
    </w:p>
    <w:p w14:paraId="60F25842" w14:textId="77777777" w:rsidR="00B3534C" w:rsidRDefault="00B625F0">
      <w:pPr>
        <w:pStyle w:val="BodyText"/>
        <w:spacing w:before="0" w:line="276" w:lineRule="auto"/>
        <w:ind w:right="115"/>
      </w:pPr>
      <w:r>
        <w:t xml:space="preserve">La </w:t>
      </w:r>
      <w:proofErr w:type="spellStart"/>
      <w:r>
        <w:t>réalisation</w:t>
      </w:r>
      <w:proofErr w:type="spellEnd"/>
      <w:r>
        <w:t xml:space="preserve"> </w:t>
      </w:r>
      <w:proofErr w:type="spellStart"/>
      <w:r>
        <w:t>d'essais</w:t>
      </w:r>
      <w:proofErr w:type="spellEnd"/>
      <w:r>
        <w:t xml:space="preserve"> à la mousse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drainage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connexes</w:t>
      </w:r>
      <w:proofErr w:type="spellEnd"/>
      <w:r>
        <w:t xml:space="preserve"> dans la station </w:t>
      </w:r>
      <w:proofErr w:type="spellStart"/>
      <w:r>
        <w:t>d'épuration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décrits</w:t>
      </w:r>
      <w:proofErr w:type="spellEnd"/>
      <w:r>
        <w:t xml:space="preserve"> dans </w:t>
      </w:r>
      <w:proofErr w:type="spellStart"/>
      <w:r>
        <w:t>différentes</w:t>
      </w:r>
      <w:proofErr w:type="spellEnd"/>
      <w:r>
        <w:t xml:space="preserve"> procédures </w:t>
      </w:r>
      <w:proofErr w:type="spellStart"/>
      <w:r>
        <w:t>opérationnelles</w:t>
      </w:r>
      <w:proofErr w:type="spellEnd"/>
      <w:r>
        <w:t xml:space="preserve"> du service </w:t>
      </w:r>
      <w:proofErr w:type="spellStart"/>
      <w:r>
        <w:t>d'incendie</w:t>
      </w:r>
      <w:proofErr w:type="spellEnd"/>
      <w:r>
        <w:t xml:space="preserve">. Ces procédures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élaborées</w:t>
      </w:r>
      <w:proofErr w:type="spellEnd"/>
      <w:r>
        <w:t xml:space="preserve"> en </w:t>
      </w:r>
      <w:proofErr w:type="spellStart"/>
      <w:r>
        <w:t>concertation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l'exploitant</w:t>
      </w:r>
      <w:proofErr w:type="spellEnd"/>
      <w:r>
        <w:t xml:space="preserve"> de la station </w:t>
      </w:r>
      <w:proofErr w:type="spellStart"/>
      <w:r>
        <w:t>d'épuration</w:t>
      </w:r>
      <w:proofErr w:type="spellEnd"/>
      <w:r>
        <w:t>.</w:t>
      </w:r>
    </w:p>
    <w:p w14:paraId="4C30C94C" w14:textId="77777777" w:rsidR="00B3534C" w:rsidRDefault="00B625F0">
      <w:pPr>
        <w:pStyle w:val="BodyText"/>
        <w:spacing w:line="276" w:lineRule="auto"/>
        <w:ind w:right="112"/>
      </w:pPr>
      <w:r>
        <w:t xml:space="preserve">En </w:t>
      </w:r>
      <w:proofErr w:type="spellStart"/>
      <w:r>
        <w:t>cas</w:t>
      </w:r>
      <w:proofErr w:type="spellEnd"/>
      <w:r>
        <w:t xml:space="preserve"> de mouvement de </w:t>
      </w:r>
      <w:proofErr w:type="spellStart"/>
      <w:r>
        <w:t>terrain</w:t>
      </w:r>
      <w:proofErr w:type="spellEnd"/>
      <w:r>
        <w:t xml:space="preserve"> (</w:t>
      </w:r>
      <w:proofErr w:type="spellStart"/>
      <w:r>
        <w:t>excavation</w:t>
      </w:r>
      <w:proofErr w:type="spellEnd"/>
      <w:r>
        <w:t xml:space="preserve"> et </w:t>
      </w:r>
      <w:proofErr w:type="spellStart"/>
      <w:r>
        <w:t>enlèvement</w:t>
      </w:r>
      <w:proofErr w:type="spellEnd"/>
      <w:r>
        <w:t xml:space="preserve"> du sol), </w:t>
      </w:r>
      <w:proofErr w:type="spellStart"/>
      <w:r>
        <w:t>une</w:t>
      </w:r>
      <w:proofErr w:type="spellEnd"/>
      <w:r>
        <w:t xml:space="preserve"> enquête préliminaire </w:t>
      </w:r>
      <w:proofErr w:type="spellStart"/>
      <w:r>
        <w:t>sur</w:t>
      </w:r>
      <w:proofErr w:type="spellEnd"/>
      <w:r>
        <w:t xml:space="preserve"> la santé </w:t>
      </w:r>
      <w:proofErr w:type="spellStart"/>
      <w:r>
        <w:t>environ</w:t>
      </w:r>
      <w:r>
        <w:t>nementale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rPr>
          <w:spacing w:val="-2"/>
        </w:rPr>
        <w:t>être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réalisée</w:t>
      </w:r>
      <w:proofErr w:type="spellEnd"/>
      <w:r>
        <w:rPr>
          <w:spacing w:val="-2"/>
        </w:rPr>
        <w:t xml:space="preserve"> </w:t>
      </w:r>
      <w:r>
        <w:t xml:space="preserve">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traité </w:t>
      </w:r>
      <w:proofErr w:type="spellStart"/>
      <w:r>
        <w:t>conformément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réglementations</w:t>
      </w:r>
      <w:proofErr w:type="spellEnd"/>
      <w:r>
        <w:t xml:space="preserve"> </w:t>
      </w:r>
      <w:proofErr w:type="spellStart"/>
      <w:r>
        <w:t>applicables</w:t>
      </w:r>
      <w:proofErr w:type="spellEnd"/>
      <w:r>
        <w:t xml:space="preserve">.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interventions</w:t>
      </w:r>
      <w:proofErr w:type="spellEnd"/>
      <w:r>
        <w:t xml:space="preserve"> </w:t>
      </w:r>
      <w:proofErr w:type="spellStart"/>
      <w:r>
        <w:t>d'optimisation</w:t>
      </w:r>
      <w:proofErr w:type="spellEnd"/>
      <w:r>
        <w:t xml:space="preserve"> se </w:t>
      </w:r>
      <w:proofErr w:type="spellStart"/>
      <w:r>
        <w:t>situent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</w:t>
      </w:r>
      <w:r>
        <w:rPr>
          <w:i/>
        </w:rPr>
        <w:t xml:space="preserve">zone de </w:t>
      </w:r>
      <w:r>
        <w:t xml:space="preserve">prévention </w:t>
      </w:r>
      <w:r>
        <w:rPr>
          <w:i/>
        </w:rPr>
        <w:t xml:space="preserve">sans </w:t>
      </w:r>
      <w:proofErr w:type="spellStart"/>
      <w:r>
        <w:rPr>
          <w:i/>
        </w:rPr>
        <w:t>regret</w:t>
      </w:r>
      <w:proofErr w:type="spellEnd"/>
      <w:r>
        <w:rPr>
          <w:i/>
        </w:rPr>
        <w:t xml:space="preserve"> </w:t>
      </w:r>
      <w:proofErr w:type="spellStart"/>
      <w:r>
        <w:t>concernant</w:t>
      </w:r>
      <w:proofErr w:type="spellEnd"/>
      <w:r>
        <w:t xml:space="preserve"> la </w:t>
      </w:r>
      <w:proofErr w:type="spellStart"/>
      <w:r>
        <w:t>contamination</w:t>
      </w:r>
      <w:proofErr w:type="spellEnd"/>
      <w:r>
        <w:t xml:space="preserve"> par les PFAS. Dans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cas</w:t>
      </w:r>
      <w:proofErr w:type="spellEnd"/>
      <w:r>
        <w:t>,</w:t>
      </w:r>
      <w:r>
        <w:t xml:space="preserve"> </w:t>
      </w:r>
      <w:proofErr w:type="spellStart"/>
      <w:r>
        <w:t>il</w:t>
      </w:r>
      <w:proofErr w:type="spellEnd"/>
      <w:r>
        <w:t xml:space="preserve"> y aura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d'agir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législation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>.</w:t>
      </w:r>
    </w:p>
    <w:p w14:paraId="06A742FA" w14:textId="77777777" w:rsidR="00B3534C" w:rsidRDefault="00B625F0">
      <w:pPr>
        <w:pStyle w:val="BodyText"/>
        <w:spacing w:before="121"/>
      </w:pPr>
      <w:proofErr w:type="spellStart"/>
      <w:r>
        <w:t>Aucune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supplémentaire </w:t>
      </w:r>
      <w:proofErr w:type="spellStart"/>
      <w:r>
        <w:t>n'est</w:t>
      </w:r>
      <w:proofErr w:type="spellEnd"/>
      <w:r>
        <w:t xml:space="preserve"> </w:t>
      </w:r>
      <w:proofErr w:type="spellStart"/>
      <w:r>
        <w:rPr>
          <w:spacing w:val="-6"/>
        </w:rPr>
        <w:t>proposée</w:t>
      </w:r>
      <w:proofErr w:type="spellEnd"/>
      <w:r>
        <w:rPr>
          <w:spacing w:val="-6"/>
        </w:rPr>
        <w:t xml:space="preserve"> </w:t>
      </w:r>
      <w:r>
        <w:t xml:space="preserve">par </w:t>
      </w:r>
      <w:proofErr w:type="spellStart"/>
      <w:r>
        <w:t>l'EIE</w:t>
      </w:r>
      <w:proofErr w:type="spellEnd"/>
      <w:r>
        <w:rPr>
          <w:spacing w:val="-2"/>
        </w:rPr>
        <w:t>.</w:t>
      </w:r>
    </w:p>
    <w:p w14:paraId="59C1268B" w14:textId="77777777" w:rsidR="00B3534C" w:rsidRDefault="00B3534C">
      <w:pPr>
        <w:pStyle w:val="BodyText"/>
        <w:spacing w:before="32"/>
        <w:ind w:left="0"/>
        <w:jc w:val="left"/>
      </w:pPr>
    </w:p>
    <w:p w14:paraId="61F08566" w14:textId="77777777" w:rsidR="00B3534C" w:rsidRDefault="00B625F0">
      <w:pPr>
        <w:pStyle w:val="Heading1"/>
        <w:spacing w:line="276" w:lineRule="auto"/>
        <w:ind w:right="116"/>
        <w:jc w:val="both"/>
      </w:pPr>
      <w:r>
        <w:rPr>
          <w:color w:val="005B82"/>
        </w:rPr>
        <w:t xml:space="preserve">Question 3 : </w:t>
      </w:r>
      <w:proofErr w:type="spellStart"/>
      <w:r>
        <w:rPr>
          <w:color w:val="005B82"/>
        </w:rPr>
        <w:t>Justifiez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pourquoi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le</w:t>
      </w:r>
      <w:proofErr w:type="spellEnd"/>
      <w:r>
        <w:rPr>
          <w:color w:val="005B82"/>
        </w:rPr>
        <w:t xml:space="preserve"> sol </w:t>
      </w:r>
      <w:proofErr w:type="spellStart"/>
      <w:r>
        <w:rPr>
          <w:color w:val="005B82"/>
        </w:rPr>
        <w:t>sont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ne </w:t>
      </w:r>
      <w:proofErr w:type="spellStart"/>
      <w:r>
        <w:rPr>
          <w:color w:val="005B82"/>
        </w:rPr>
        <w:t>sont</w:t>
      </w:r>
      <w:proofErr w:type="spellEnd"/>
      <w:r>
        <w:rPr>
          <w:color w:val="005B82"/>
        </w:rPr>
        <w:t xml:space="preserve"> pas </w:t>
      </w:r>
      <w:proofErr w:type="spellStart"/>
      <w:r>
        <w:rPr>
          <w:color w:val="005B82"/>
        </w:rPr>
        <w:t>significatifs</w:t>
      </w:r>
      <w:proofErr w:type="spellEnd"/>
      <w:r>
        <w:rPr>
          <w:color w:val="005B82"/>
        </w:rPr>
        <w:t xml:space="preserve">. Ce </w:t>
      </w:r>
      <w:proofErr w:type="spellStart"/>
      <w:r>
        <w:rPr>
          <w:color w:val="005B82"/>
        </w:rPr>
        <w:t>faisant</w:t>
      </w:r>
      <w:proofErr w:type="spellEnd"/>
      <w:r>
        <w:rPr>
          <w:color w:val="005B82"/>
        </w:rPr>
        <w:t xml:space="preserve">, </w:t>
      </w:r>
      <w:proofErr w:type="spellStart"/>
      <w:r>
        <w:rPr>
          <w:color w:val="005B82"/>
        </w:rPr>
        <w:t>tenez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également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compte</w:t>
      </w:r>
      <w:proofErr w:type="spellEnd"/>
      <w:r>
        <w:rPr>
          <w:color w:val="005B82"/>
        </w:rPr>
        <w:t xml:space="preserve"> des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la santé </w:t>
      </w:r>
      <w:proofErr w:type="spellStart"/>
      <w:r>
        <w:rPr>
          <w:color w:val="005B82"/>
        </w:rPr>
        <w:t>humaine</w:t>
      </w:r>
      <w:proofErr w:type="spellEnd"/>
      <w:r>
        <w:rPr>
          <w:color w:val="005B82"/>
        </w:rPr>
        <w:t>.</w:t>
      </w:r>
    </w:p>
    <w:p w14:paraId="633A9144" w14:textId="77777777" w:rsidR="00B3534C" w:rsidRDefault="00B625F0">
      <w:pPr>
        <w:pStyle w:val="BodyText"/>
        <w:spacing w:line="276" w:lineRule="auto"/>
        <w:ind w:right="115"/>
      </w:pPr>
      <w:proofErr w:type="spellStart"/>
      <w:r>
        <w:t>Voir</w:t>
      </w:r>
      <w:proofErr w:type="spellEnd"/>
      <w:r>
        <w:t xml:space="preserve"> les </w:t>
      </w:r>
      <w:proofErr w:type="spellStart"/>
      <w:r>
        <w:t>sections</w:t>
      </w:r>
      <w:proofErr w:type="spellEnd"/>
      <w:r>
        <w:t xml:space="preserve"> 8.5 et 8.6 de </w:t>
      </w:r>
      <w:proofErr w:type="spellStart"/>
      <w:r>
        <w:t>l'EIE</w:t>
      </w:r>
      <w:proofErr w:type="spellEnd"/>
      <w:r>
        <w:t xml:space="preserve">. Les </w:t>
      </w:r>
      <w:proofErr w:type="spellStart"/>
      <w:r>
        <w:t>incidences</w:t>
      </w:r>
      <w:proofErr w:type="spellEnd"/>
      <w:r>
        <w:t xml:space="preserve"> de la poursuite de </w:t>
      </w:r>
      <w:proofErr w:type="spellStart"/>
      <w:r>
        <w:t>l'activité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jugées</w:t>
      </w:r>
      <w:proofErr w:type="spellEnd"/>
      <w:r>
        <w:t xml:space="preserve"> non </w:t>
      </w:r>
      <w:proofErr w:type="spellStart"/>
      <w:r>
        <w:t>sig</w:t>
      </w:r>
      <w:r>
        <w:t>nificatives</w:t>
      </w:r>
      <w:proofErr w:type="spellEnd"/>
      <w:r>
        <w:t xml:space="preserve">, </w:t>
      </w:r>
      <w:proofErr w:type="spellStart"/>
      <w:r>
        <w:t>c'est</w:t>
      </w:r>
      <w:proofErr w:type="spellEnd"/>
      <w:r>
        <w:t>-à-</w:t>
      </w:r>
      <w:proofErr w:type="spellStart"/>
      <w:r>
        <w:t>dire</w:t>
      </w:r>
      <w:proofErr w:type="spellEnd"/>
      <w:r>
        <w:t xml:space="preserve"> que les </w:t>
      </w:r>
      <w:proofErr w:type="spellStart"/>
      <w:r>
        <w:t>mesures</w:t>
      </w:r>
      <w:proofErr w:type="spellEnd"/>
      <w:r>
        <w:t xml:space="preserve"> prises, </w:t>
      </w:r>
      <w:proofErr w:type="spellStart"/>
      <w:r>
        <w:t>telles</w:t>
      </w:r>
      <w:proofErr w:type="spellEnd"/>
      <w:r>
        <w:t xml:space="preserve"> que </w:t>
      </w:r>
      <w:proofErr w:type="spellStart"/>
      <w:r>
        <w:t>résumées</w:t>
      </w:r>
      <w:proofErr w:type="spellEnd"/>
      <w:r>
        <w:t xml:space="preserve"> ci-</w:t>
      </w:r>
      <w:proofErr w:type="spellStart"/>
      <w:r>
        <w:t>dessus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suffisantes</w:t>
      </w:r>
      <w:proofErr w:type="spellEnd"/>
      <w:r>
        <w:t xml:space="preserve"> pour </w:t>
      </w:r>
      <w:proofErr w:type="spellStart"/>
      <w:r>
        <w:t>maîtriser</w:t>
      </w:r>
      <w:proofErr w:type="spellEnd"/>
      <w:r>
        <w:t xml:space="preserve"> les </w:t>
      </w:r>
      <w:proofErr w:type="spellStart"/>
      <w:r>
        <w:t>incidences</w:t>
      </w:r>
      <w:proofErr w:type="spellEnd"/>
      <w:r>
        <w:t>.</w:t>
      </w:r>
    </w:p>
    <w:p w14:paraId="58E3B72B" w14:textId="77777777" w:rsidR="00B3534C" w:rsidRDefault="00B625F0">
      <w:pPr>
        <w:pStyle w:val="BodyText"/>
        <w:spacing w:line="276" w:lineRule="auto"/>
        <w:ind w:right="113"/>
      </w:pPr>
      <w:r>
        <w:t xml:space="preserve">En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les PFAS, </w:t>
      </w:r>
      <w:proofErr w:type="spellStart"/>
      <w:r>
        <w:t>un</w:t>
      </w:r>
      <w:proofErr w:type="spellEnd"/>
      <w:r>
        <w:t xml:space="preserve"> BBO </w:t>
      </w:r>
      <w:proofErr w:type="spellStart"/>
      <w:r>
        <w:t>est</w:t>
      </w:r>
      <w:proofErr w:type="spellEnd"/>
      <w:r>
        <w:t xml:space="preserve"> en cours pour les zones déjà </w:t>
      </w:r>
      <w:proofErr w:type="spellStart"/>
      <w:r>
        <w:t>cartographiées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dépassent</w:t>
      </w:r>
      <w:proofErr w:type="spellEnd"/>
      <w:r>
        <w:t xml:space="preserve"> la </w:t>
      </w:r>
      <w:proofErr w:type="spellStart"/>
      <w:r>
        <w:t>norme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signalé</w:t>
      </w:r>
      <w:proofErr w:type="spellEnd"/>
      <w:r>
        <w:t xml:space="preserve"> </w:t>
      </w:r>
      <w:r>
        <w:t xml:space="preserve">à </w:t>
      </w:r>
      <w:proofErr w:type="spellStart"/>
      <w:r>
        <w:t>l'OVAM</w:t>
      </w:r>
      <w:proofErr w:type="spellEnd"/>
      <w:r>
        <w:t xml:space="preserve">. Le </w:t>
      </w:r>
      <w:proofErr w:type="spellStart"/>
      <w:r>
        <w:t>dépistage</w:t>
      </w:r>
      <w:proofErr w:type="spellEnd"/>
      <w:r>
        <w:t xml:space="preserve"> des PFAS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dans </w:t>
      </w:r>
      <w:proofErr w:type="spellStart"/>
      <w:r>
        <w:t>toutes</w:t>
      </w:r>
      <w:proofErr w:type="spellEnd"/>
      <w:r>
        <w:t xml:space="preserve"> les études de </w:t>
      </w:r>
      <w:proofErr w:type="spellStart"/>
      <w:r>
        <w:t>terrassement</w:t>
      </w:r>
      <w:proofErr w:type="spellEnd"/>
      <w:r>
        <w:t xml:space="preserve"> et de sol et, si nécessaire,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appliquées</w:t>
      </w:r>
      <w:proofErr w:type="spellEnd"/>
      <w:r>
        <w:t xml:space="preserve"> pour </w:t>
      </w:r>
      <w:proofErr w:type="spellStart"/>
      <w:r>
        <w:t>contenir</w:t>
      </w:r>
      <w:proofErr w:type="spellEnd"/>
      <w:r>
        <w:t xml:space="preserve"> les </w:t>
      </w:r>
      <w:proofErr w:type="spellStart"/>
      <w:r>
        <w:t>risques</w:t>
      </w:r>
      <w:proofErr w:type="spellEnd"/>
      <w:r>
        <w:t xml:space="preserve"> de </w:t>
      </w:r>
      <w:proofErr w:type="spellStart"/>
      <w:r>
        <w:t>dispersion</w:t>
      </w:r>
      <w:proofErr w:type="spellEnd"/>
      <w:r>
        <w:t>.</w:t>
      </w:r>
    </w:p>
    <w:p w14:paraId="32F6C1D1" w14:textId="77777777" w:rsidR="00B3534C" w:rsidRDefault="00B625F0">
      <w:pPr>
        <w:pStyle w:val="BodyText"/>
        <w:spacing w:line="276" w:lineRule="auto"/>
        <w:ind w:right="115"/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 </w:t>
      </w:r>
      <w:proofErr w:type="spellStart"/>
      <w:r>
        <w:t>mentionner</w:t>
      </w:r>
      <w:proofErr w:type="spellEnd"/>
      <w:r>
        <w:t xml:space="preserve"> que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contaminées</w:t>
      </w:r>
      <w:proofErr w:type="spellEnd"/>
      <w:r>
        <w:t xml:space="preserve"> par des PFAS,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décrit</w:t>
      </w:r>
      <w:proofErr w:type="spellEnd"/>
      <w:r>
        <w:t xml:space="preserve"> en détail dans </w:t>
      </w:r>
      <w:proofErr w:type="spellStart"/>
      <w:r>
        <w:t>l'EIA</w:t>
      </w:r>
      <w:proofErr w:type="spellEnd"/>
      <w:r>
        <w:t>.</w:t>
      </w:r>
    </w:p>
    <w:sectPr w:rsidR="00B3534C">
      <w:pgSz w:w="11910" w:h="16840"/>
      <w:pgMar w:top="2140" w:right="1300" w:bottom="1140" w:left="1300" w:header="118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2420" w14:textId="77777777" w:rsidR="00000000" w:rsidRDefault="00B625F0">
      <w:r>
        <w:separator/>
      </w:r>
    </w:p>
  </w:endnote>
  <w:endnote w:type="continuationSeparator" w:id="0">
    <w:p w14:paraId="10E767BF" w14:textId="77777777" w:rsidR="00000000" w:rsidRDefault="00B6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C318" w14:textId="77777777" w:rsidR="00B3534C" w:rsidRDefault="00B625F0">
    <w:pPr>
      <w:pStyle w:val="BodyText"/>
      <w:spacing w:before="0"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487543296" behindDoc="1" locked="0" layoutInCell="1" allowOverlap="1" wp14:anchorId="11675A5D" wp14:editId="45026479">
              <wp:simplePos x="0" y="0"/>
              <wp:positionH relativeFrom="page">
                <wp:posOffset>886460</wp:posOffset>
              </wp:positionH>
              <wp:positionV relativeFrom="page">
                <wp:posOffset>9943207</wp:posOffset>
              </wp:positionV>
              <wp:extent cx="272288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28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91D713" w14:textId="77777777" w:rsidR="00B3534C" w:rsidRDefault="00B625F0">
                          <w:pPr>
                            <w:tabs>
                              <w:tab w:val="left" w:pos="4267"/>
                            </w:tabs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Addendum E2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Effets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sur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le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pacing w:val="-5"/>
                              <w:sz w:val="18"/>
                              <w:shd w:val="clear" w:color="auto" w:fill="E1E2E6"/>
                            </w:rPr>
                            <w:t>taux</w:t>
                          </w:r>
                          <w:proofErr w:type="spellEnd"/>
                          <w:r>
                            <w:rPr>
                              <w:color w:val="000000"/>
                              <w:spacing w:val="-5"/>
                              <w:sz w:val="18"/>
                              <w:shd w:val="clear" w:color="auto" w:fill="E1E2E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pacing w:val="-5"/>
                              <w:sz w:val="18"/>
                              <w:shd w:val="clear" w:color="auto" w:fill="E1E2E6"/>
                            </w:rPr>
                            <w:t>d'alcoolémie</w:t>
                          </w:r>
                          <w:proofErr w:type="spellEnd"/>
                          <w:r>
                            <w:rPr>
                              <w:color w:val="000000"/>
                              <w:spacing w:val="-5"/>
                              <w:sz w:val="18"/>
                              <w:shd w:val="clear" w:color="auto" w:fill="E1E2E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l'OVA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dans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le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sol</w:t>
                          </w:r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75A5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8pt;margin-top:782.95pt;width:214.4pt;height:11pt;z-index:-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" filled="f" stroked="f">
              <v:textbox inset="0,0,0,0">
                <w:txbxContent>
                  <w:p w14:paraId="0991D713" w14:textId="77777777" w:rsidR="00B3534C" w:rsidRDefault="00B625F0">
                    <w:pPr>
                      <w:tabs>
                        <w:tab w:val="left" w:pos="4267"/>
                      </w:tabs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Addendum E2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Effets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sur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le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pacing w:val="-5"/>
                        <w:sz w:val="18"/>
                        <w:shd w:val="clear" w:color="auto" w:fill="E1E2E6"/>
                      </w:rPr>
                      <w:t>taux</w:t>
                    </w:r>
                    <w:proofErr w:type="spellEnd"/>
                    <w:r>
                      <w:rPr>
                        <w:color w:val="000000"/>
                        <w:spacing w:val="-5"/>
                        <w:sz w:val="18"/>
                        <w:shd w:val="clear" w:color="auto" w:fill="E1E2E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pacing w:val="-5"/>
                        <w:sz w:val="18"/>
                        <w:shd w:val="clear" w:color="auto" w:fill="E1E2E6"/>
                      </w:rPr>
                      <w:t>d'alcoolémie</w:t>
                    </w:r>
                    <w:proofErr w:type="spellEnd"/>
                    <w:r>
                      <w:rPr>
                        <w:color w:val="000000"/>
                        <w:spacing w:val="-5"/>
                        <w:sz w:val="18"/>
                        <w:shd w:val="clear" w:color="auto" w:fill="E1E2E6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l'OVA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dans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le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sol</w:t>
                    </w:r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3808" behindDoc="1" locked="0" layoutInCell="1" allowOverlap="1" wp14:anchorId="07D542C3" wp14:editId="1B6EED49">
              <wp:simplePos x="0" y="0"/>
              <wp:positionH relativeFrom="page">
                <wp:posOffset>5831978</wp:posOffset>
              </wp:positionH>
              <wp:positionV relativeFrom="page">
                <wp:posOffset>9943207</wp:posOffset>
              </wp:positionV>
              <wp:extent cx="69342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34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C3260A" w14:textId="77777777" w:rsidR="00B3534C" w:rsidRDefault="00B625F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D542C3" id="Textbox 3" o:spid="_x0000_s1027" type="#_x0000_t202" style="position:absolute;margin-left:459.2pt;margin-top:782.95pt;width:54.6pt;height:11pt;z-index:-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" filled="f" stroked="f">
              <v:textbox inset="0,0,0,0">
                <w:txbxContent>
                  <w:p w14:paraId="56C3260A" w14:textId="77777777" w:rsidR="00B3534C" w:rsidRDefault="00B625F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 xml:space="preserve">Page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de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3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368F" w14:textId="77777777" w:rsidR="00000000" w:rsidRDefault="00B625F0">
      <w:r>
        <w:separator/>
      </w:r>
    </w:p>
  </w:footnote>
  <w:footnote w:type="continuationSeparator" w:id="0">
    <w:p w14:paraId="6ED1DF55" w14:textId="77777777" w:rsidR="00000000" w:rsidRDefault="00B6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7E0F" w14:textId="77777777" w:rsidR="00B3534C" w:rsidRDefault="00B625F0">
    <w:pPr>
      <w:pStyle w:val="BodyText"/>
      <w:spacing w:before="0" w:line="14" w:lineRule="auto"/>
      <w:ind w:left="0"/>
      <w:jc w:val="left"/>
    </w:pPr>
    <w:r>
      <w:rPr>
        <w:noProof/>
      </w:rPr>
      <w:drawing>
        <wp:anchor distT="0" distB="0" distL="0" distR="0" simplePos="0" relativeHeight="487542784" behindDoc="1" locked="0" layoutInCell="1" allowOverlap="1" wp14:anchorId="5BA142F4" wp14:editId="5492738A">
          <wp:simplePos x="0" y="0"/>
          <wp:positionH relativeFrom="page">
            <wp:posOffset>1117167</wp:posOffset>
          </wp:positionH>
          <wp:positionV relativeFrom="page">
            <wp:posOffset>749426</wp:posOffset>
          </wp:positionV>
          <wp:extent cx="1561384" cy="61049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1384" cy="61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FE8"/>
    <w:multiLevelType w:val="hybridMultilevel"/>
    <w:tmpl w:val="C57EEEAE"/>
    <w:lvl w:ilvl="0" w:tplc="405C6168">
      <w:numFmt w:val="bullet"/>
      <w:lvlText w:val="-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 w:tplc="547CB09A">
      <w:numFmt w:val="bullet"/>
      <w:lvlText w:val="•"/>
      <w:lvlJc w:val="left"/>
      <w:pPr>
        <w:ind w:left="2334" w:hanging="360"/>
      </w:pPr>
      <w:rPr>
        <w:rFonts w:hint="default"/>
        <w:lang w:val="nl-NL" w:eastAsia="en-US" w:bidi="ar-SA"/>
      </w:rPr>
    </w:lvl>
    <w:lvl w:ilvl="2" w:tplc="B3EE5EE2">
      <w:numFmt w:val="bullet"/>
      <w:lvlText w:val="•"/>
      <w:lvlJc w:val="left"/>
      <w:pPr>
        <w:ind w:left="3109" w:hanging="360"/>
      </w:pPr>
      <w:rPr>
        <w:rFonts w:hint="default"/>
        <w:lang w:val="nl-NL" w:eastAsia="en-US" w:bidi="ar-SA"/>
      </w:rPr>
    </w:lvl>
    <w:lvl w:ilvl="3" w:tplc="8ACE90F0">
      <w:numFmt w:val="bullet"/>
      <w:lvlText w:val="•"/>
      <w:lvlJc w:val="left"/>
      <w:pPr>
        <w:ind w:left="3883" w:hanging="360"/>
      </w:pPr>
      <w:rPr>
        <w:rFonts w:hint="default"/>
        <w:lang w:val="nl-NL" w:eastAsia="en-US" w:bidi="ar-SA"/>
      </w:rPr>
    </w:lvl>
    <w:lvl w:ilvl="4" w:tplc="ACD04384">
      <w:numFmt w:val="bullet"/>
      <w:lvlText w:val="•"/>
      <w:lvlJc w:val="left"/>
      <w:pPr>
        <w:ind w:left="4658" w:hanging="360"/>
      </w:pPr>
      <w:rPr>
        <w:rFonts w:hint="default"/>
        <w:lang w:val="nl-NL" w:eastAsia="en-US" w:bidi="ar-SA"/>
      </w:rPr>
    </w:lvl>
    <w:lvl w:ilvl="5" w:tplc="9F3E9B4E">
      <w:numFmt w:val="bullet"/>
      <w:lvlText w:val="•"/>
      <w:lvlJc w:val="left"/>
      <w:pPr>
        <w:ind w:left="5433" w:hanging="360"/>
      </w:pPr>
      <w:rPr>
        <w:rFonts w:hint="default"/>
        <w:lang w:val="nl-NL" w:eastAsia="en-US" w:bidi="ar-SA"/>
      </w:rPr>
    </w:lvl>
    <w:lvl w:ilvl="6" w:tplc="928EF4D2">
      <w:numFmt w:val="bullet"/>
      <w:lvlText w:val="•"/>
      <w:lvlJc w:val="left"/>
      <w:pPr>
        <w:ind w:left="6207" w:hanging="360"/>
      </w:pPr>
      <w:rPr>
        <w:rFonts w:hint="default"/>
        <w:lang w:val="nl-NL" w:eastAsia="en-US" w:bidi="ar-SA"/>
      </w:rPr>
    </w:lvl>
    <w:lvl w:ilvl="7" w:tplc="BD60A3FC">
      <w:numFmt w:val="bullet"/>
      <w:lvlText w:val="•"/>
      <w:lvlJc w:val="left"/>
      <w:pPr>
        <w:ind w:left="6982" w:hanging="360"/>
      </w:pPr>
      <w:rPr>
        <w:rFonts w:hint="default"/>
        <w:lang w:val="nl-NL" w:eastAsia="en-US" w:bidi="ar-SA"/>
      </w:rPr>
    </w:lvl>
    <w:lvl w:ilvl="8" w:tplc="6A7A362C">
      <w:numFmt w:val="bullet"/>
      <w:lvlText w:val="•"/>
      <w:lvlJc w:val="left"/>
      <w:pPr>
        <w:ind w:left="7757" w:hanging="360"/>
      </w:pPr>
      <w:rPr>
        <w:rFonts w:hint="default"/>
        <w:lang w:val="nl-NL" w:eastAsia="en-US" w:bidi="ar-SA"/>
      </w:rPr>
    </w:lvl>
  </w:abstractNum>
  <w:num w:numId="1" w16cid:durableId="37095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4C"/>
    <w:rsid w:val="00B3534C"/>
    <w:rsid w:val="00B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E2E6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9"/>
    <w:qFormat/>
    <w:pPr>
      <w:ind w:left="1193" w:hanging="107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93"/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9"/>
      <w:ind w:left="1555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6754</Characters>
  <Application>Microsoft Office Word</Application>
  <DocSecurity>0</DocSecurity>
  <Lines>56</Lines>
  <Paragraphs>15</Paragraphs>
  <ScaleCrop>false</ScaleCrop>
  <Company>Bruxelles-Environnement - Leefmilieu Brussels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E2 Beschrijving van de effecten op bodem OK.docx</dc:title>
  <dc:creator>d05456</dc:creator>
  <cp:keywords>, docId:94D53858575D47D6B75B22EB2994E66E</cp:keywords>
  <cp:lastModifiedBy>CLARA Sylvie</cp:lastModifiedBy>
  <cp:revision>2</cp:revision>
  <dcterms:created xsi:type="dcterms:W3CDTF">2023-12-11T08:16:00Z</dcterms:created>
  <dcterms:modified xsi:type="dcterms:W3CDTF">2023-12-11T08:16:00Z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